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0793" w14:textId="027F5F09" w:rsidR="00ED3A93" w:rsidRPr="005E0CEC" w:rsidRDefault="00ED3A93" w:rsidP="005E0CEC">
      <w:pPr>
        <w:spacing w:line="268" w:lineRule="auto"/>
        <w:ind w:left="104"/>
        <w:jc w:val="both"/>
        <w:outlineLvl w:val="3"/>
        <w:rPr>
          <w:rFonts w:eastAsia="Georgia"/>
          <w:b/>
          <w:bCs/>
          <w:i/>
          <w:iCs/>
          <w:sz w:val="26"/>
          <w:szCs w:val="26"/>
        </w:rPr>
      </w:pPr>
      <w:r w:rsidRPr="005E0CEC">
        <w:rPr>
          <w:rFonts w:eastAsia="Georgia"/>
          <w:b/>
          <w:bCs/>
          <w:i/>
          <w:iCs/>
          <w:color w:val="2F2F2F"/>
          <w:sz w:val="26"/>
          <w:szCs w:val="26"/>
        </w:rPr>
        <w:t>MOZIONE/OPZIONE</w:t>
      </w:r>
      <w:r w:rsidRPr="005E0CEC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5E0CEC">
        <w:rPr>
          <w:rFonts w:eastAsia="Georgia"/>
          <w:b/>
          <w:bCs/>
          <w:i/>
          <w:iCs/>
          <w:color w:val="2F2F2F"/>
          <w:sz w:val="26"/>
          <w:szCs w:val="26"/>
        </w:rPr>
        <w:t>DI</w:t>
      </w:r>
      <w:r w:rsidRPr="005E0CEC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5E0CEC">
        <w:rPr>
          <w:rFonts w:eastAsia="Georgia"/>
          <w:b/>
          <w:bCs/>
          <w:i/>
          <w:iCs/>
          <w:color w:val="2F2F2F"/>
          <w:sz w:val="26"/>
          <w:szCs w:val="26"/>
        </w:rPr>
        <w:t>MINORANZA</w:t>
      </w:r>
      <w:r w:rsidRPr="005E0CEC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5E0CEC">
        <w:rPr>
          <w:rFonts w:eastAsia="Georgia"/>
          <w:b/>
          <w:bCs/>
          <w:i/>
          <w:iCs/>
          <w:color w:val="2F2F2F"/>
          <w:sz w:val="26"/>
          <w:szCs w:val="26"/>
        </w:rPr>
        <w:t>SULLA</w:t>
      </w:r>
      <w:r w:rsidRPr="005E0CEC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5E0CEC">
        <w:rPr>
          <w:rFonts w:eastAsia="Georgia"/>
          <w:b/>
          <w:bCs/>
          <w:i/>
          <w:iCs/>
          <w:color w:val="2F2F2F"/>
          <w:sz w:val="26"/>
          <w:szCs w:val="26"/>
        </w:rPr>
        <w:t>C.D. CARRIERA ALIAS</w:t>
      </w:r>
    </w:p>
    <w:p w14:paraId="6F505A1B" w14:textId="77777777" w:rsidR="00ED3A93" w:rsidRPr="005E0CEC" w:rsidRDefault="00ED3A93" w:rsidP="005E0CEC">
      <w:pPr>
        <w:spacing w:before="33"/>
        <w:jc w:val="both"/>
        <w:rPr>
          <w:rFonts w:eastAsia="Georgia"/>
          <w:b/>
          <w:i/>
          <w:sz w:val="26"/>
          <w:szCs w:val="26"/>
        </w:rPr>
      </w:pPr>
    </w:p>
    <w:p w14:paraId="789DB77D" w14:textId="77777777" w:rsidR="00ED3A93" w:rsidRPr="005E0CEC" w:rsidRDefault="00ED3A93" w:rsidP="005E0CEC">
      <w:pPr>
        <w:spacing w:line="535" w:lineRule="auto"/>
        <w:ind w:left="104" w:right="5895"/>
        <w:jc w:val="both"/>
        <w:rPr>
          <w:rFonts w:eastAsia="Georgia"/>
          <w:sz w:val="26"/>
          <w:szCs w:val="26"/>
        </w:rPr>
      </w:pPr>
      <w:r w:rsidRPr="005E0CEC">
        <w:rPr>
          <w:rFonts w:eastAsia="Georgia"/>
          <w:color w:val="2F2F2F"/>
          <w:sz w:val="26"/>
          <w:szCs w:val="26"/>
        </w:rPr>
        <w:t>Al/la</w:t>
      </w:r>
      <w:r w:rsidRPr="005E0CEC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5E0CEC">
        <w:rPr>
          <w:rFonts w:eastAsia="Georgia"/>
          <w:color w:val="2F2F2F"/>
          <w:sz w:val="26"/>
          <w:szCs w:val="26"/>
        </w:rPr>
        <w:t>Dirigente</w:t>
      </w:r>
      <w:r w:rsidRPr="005E0CEC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5E0CEC">
        <w:rPr>
          <w:rFonts w:eastAsia="Georgia"/>
          <w:color w:val="2F2F2F"/>
          <w:sz w:val="26"/>
          <w:szCs w:val="26"/>
        </w:rPr>
        <w:t>scolastico/a Al Collegio docenti</w:t>
      </w:r>
    </w:p>
    <w:p w14:paraId="55953603" w14:textId="77777777" w:rsidR="00ED3A93" w:rsidRPr="005E0CEC" w:rsidRDefault="00ED3A93" w:rsidP="005E0CEC">
      <w:pPr>
        <w:spacing w:before="2"/>
        <w:ind w:left="104"/>
        <w:jc w:val="both"/>
        <w:rPr>
          <w:rFonts w:eastAsia="Georgia"/>
          <w:sz w:val="26"/>
          <w:szCs w:val="26"/>
        </w:rPr>
      </w:pPr>
      <w:r w:rsidRPr="005E0CEC">
        <w:rPr>
          <w:rFonts w:eastAsia="Georgia"/>
          <w:color w:val="2F2F2F"/>
          <w:sz w:val="26"/>
          <w:szCs w:val="26"/>
        </w:rPr>
        <w:t xml:space="preserve">Al Consiglio di Circolo o </w:t>
      </w:r>
      <w:r w:rsidRPr="005E0CEC">
        <w:rPr>
          <w:rFonts w:eastAsia="Georgia"/>
          <w:color w:val="2F2F2F"/>
          <w:spacing w:val="-2"/>
          <w:sz w:val="26"/>
          <w:szCs w:val="26"/>
        </w:rPr>
        <w:t>d’Istituto</w:t>
      </w:r>
    </w:p>
    <w:p w14:paraId="5845F7D1" w14:textId="77777777" w:rsidR="00ED3A93" w:rsidRPr="005E0CEC" w:rsidRDefault="00ED3A93" w:rsidP="005E0CEC">
      <w:pPr>
        <w:spacing w:before="69"/>
        <w:jc w:val="both"/>
        <w:rPr>
          <w:rFonts w:eastAsia="Georgia"/>
          <w:sz w:val="26"/>
          <w:szCs w:val="26"/>
        </w:rPr>
      </w:pPr>
    </w:p>
    <w:p w14:paraId="0F40E7E4" w14:textId="77777777" w:rsidR="00ED3A93" w:rsidRPr="005E0CEC" w:rsidRDefault="00ED3A93" w:rsidP="005E0CEC">
      <w:pPr>
        <w:spacing w:before="1"/>
        <w:ind w:left="104"/>
        <w:jc w:val="both"/>
        <w:rPr>
          <w:rFonts w:eastAsia="Georgia"/>
          <w:sz w:val="26"/>
          <w:szCs w:val="26"/>
        </w:rPr>
      </w:pPr>
      <w:r w:rsidRPr="005E0CEC">
        <w:rPr>
          <w:rFonts w:eastAsia="Georgia"/>
          <w:color w:val="2F2F2F"/>
          <w:sz w:val="26"/>
          <w:szCs w:val="26"/>
        </w:rPr>
        <w:t xml:space="preserve">OGGETTO: mozione/opzione di minoranza [art. 3 d.P.R. n. 275/1999] </w:t>
      </w:r>
      <w:r w:rsidRPr="005E0CEC">
        <w:rPr>
          <w:rFonts w:eastAsia="Georgia"/>
          <w:color w:val="2F2F2F"/>
          <w:spacing w:val="-2"/>
          <w:sz w:val="26"/>
          <w:szCs w:val="26"/>
        </w:rPr>
        <w:t>sulla</w:t>
      </w:r>
    </w:p>
    <w:p w14:paraId="480CDCEF" w14:textId="77777777" w:rsidR="00ED3A93" w:rsidRPr="005E0CEC" w:rsidRDefault="00ED3A93" w:rsidP="005E0CEC">
      <w:pPr>
        <w:spacing w:before="49"/>
        <w:ind w:left="104"/>
        <w:jc w:val="both"/>
        <w:rPr>
          <w:rFonts w:eastAsia="Georgia"/>
          <w:i/>
          <w:sz w:val="26"/>
        </w:rPr>
      </w:pPr>
      <w:r w:rsidRPr="005E0CEC">
        <w:rPr>
          <w:rFonts w:eastAsia="Georgia"/>
          <w:i/>
          <w:color w:val="2F2F2F"/>
          <w:sz w:val="26"/>
        </w:rPr>
        <w:t xml:space="preserve">formazione in </w:t>
      </w:r>
      <w:r w:rsidRPr="005E0CEC">
        <w:rPr>
          <w:rFonts w:eastAsia="Georgia"/>
          <w:i/>
          <w:color w:val="2F2F2F"/>
          <w:spacing w:val="-2"/>
          <w:sz w:val="26"/>
        </w:rPr>
        <w:t>servizio</w:t>
      </w:r>
    </w:p>
    <w:p w14:paraId="3084A520" w14:textId="77777777" w:rsidR="00ED3A93" w:rsidRPr="005E0CEC" w:rsidRDefault="00ED3A93" w:rsidP="005E0CEC">
      <w:pPr>
        <w:spacing w:before="54"/>
        <w:jc w:val="both"/>
        <w:rPr>
          <w:rFonts w:eastAsia="Georgia"/>
          <w:i/>
          <w:sz w:val="26"/>
          <w:szCs w:val="26"/>
        </w:rPr>
      </w:pPr>
    </w:p>
    <w:p w14:paraId="6BBF9078" w14:textId="77777777" w:rsidR="00ED3A93" w:rsidRPr="005E0CEC" w:rsidRDefault="00ED3A93" w:rsidP="005E0CEC">
      <w:pPr>
        <w:ind w:left="104"/>
        <w:jc w:val="both"/>
        <w:rPr>
          <w:rFonts w:eastAsia="Georgia"/>
          <w:sz w:val="26"/>
          <w:szCs w:val="26"/>
        </w:rPr>
      </w:pPr>
      <w:r w:rsidRPr="005E0CEC">
        <w:rPr>
          <w:rFonts w:eastAsia="Georgia"/>
          <w:color w:val="2F2F2F"/>
          <w:sz w:val="26"/>
          <w:szCs w:val="26"/>
        </w:rPr>
        <w:t xml:space="preserve">I sottoscritti docenti del ……………………………………. di </w:t>
      </w:r>
      <w:r w:rsidRPr="005E0CEC">
        <w:rPr>
          <w:rFonts w:eastAsia="Georgia"/>
          <w:color w:val="2F2F2F"/>
          <w:spacing w:val="-2"/>
          <w:sz w:val="26"/>
          <w:szCs w:val="26"/>
        </w:rPr>
        <w:t>……………………</w:t>
      </w:r>
    </w:p>
    <w:p w14:paraId="17E9A47A" w14:textId="77777777" w:rsidR="00471CCA" w:rsidRPr="005E0CEC" w:rsidRDefault="00471CCA" w:rsidP="005E0CEC">
      <w:pPr>
        <w:pStyle w:val="Corpotesto"/>
        <w:spacing w:before="113" w:line="360" w:lineRule="auto"/>
        <w:jc w:val="both"/>
        <w:rPr>
          <w:sz w:val="22"/>
          <w:szCs w:val="22"/>
        </w:rPr>
      </w:pPr>
    </w:p>
    <w:p w14:paraId="79579CAE" w14:textId="77777777" w:rsidR="00471CCA" w:rsidRPr="005E0CEC" w:rsidRDefault="007054BA" w:rsidP="005E0CEC">
      <w:pPr>
        <w:pStyle w:val="Titolo2"/>
        <w:spacing w:line="360" w:lineRule="auto"/>
        <w:ind w:left="0" w:right="1552"/>
        <w:rPr>
          <w:sz w:val="22"/>
          <w:szCs w:val="22"/>
        </w:rPr>
      </w:pPr>
      <w:r w:rsidRPr="005E0CEC">
        <w:rPr>
          <w:sz w:val="22"/>
          <w:szCs w:val="22"/>
        </w:rPr>
        <w:t>ESPONGONO</w:t>
      </w:r>
      <w:r w:rsidRPr="005E0CEC">
        <w:rPr>
          <w:spacing w:val="-7"/>
          <w:sz w:val="22"/>
          <w:szCs w:val="22"/>
        </w:rPr>
        <w:t xml:space="preserve"> </w:t>
      </w:r>
      <w:r w:rsidRPr="005E0CEC">
        <w:rPr>
          <w:sz w:val="22"/>
          <w:szCs w:val="22"/>
        </w:rPr>
        <w:t>QUANTO</w:t>
      </w:r>
      <w:r w:rsidRPr="005E0CEC">
        <w:rPr>
          <w:spacing w:val="-7"/>
          <w:sz w:val="22"/>
          <w:szCs w:val="22"/>
        </w:rPr>
        <w:t xml:space="preserve"> </w:t>
      </w:r>
      <w:r w:rsidRPr="005E0CEC">
        <w:rPr>
          <w:spacing w:val="-2"/>
          <w:sz w:val="22"/>
          <w:szCs w:val="22"/>
        </w:rPr>
        <w:t>SEGUE</w:t>
      </w:r>
    </w:p>
    <w:p w14:paraId="3122C08A" w14:textId="77777777" w:rsidR="00471CCA" w:rsidRPr="005E0CEC" w:rsidRDefault="00471CCA" w:rsidP="005E0CEC">
      <w:pPr>
        <w:pStyle w:val="Corpotesto"/>
        <w:spacing w:before="114" w:line="360" w:lineRule="auto"/>
        <w:jc w:val="both"/>
        <w:rPr>
          <w:b/>
          <w:sz w:val="22"/>
          <w:szCs w:val="22"/>
        </w:rPr>
      </w:pPr>
    </w:p>
    <w:p w14:paraId="1D413564" w14:textId="77777777" w:rsidR="00471CCA" w:rsidRPr="005E0CEC" w:rsidRDefault="007054BA" w:rsidP="005E0CEC">
      <w:pPr>
        <w:pStyle w:val="Paragrafoelenco"/>
        <w:numPr>
          <w:ilvl w:val="0"/>
          <w:numId w:val="2"/>
        </w:numPr>
        <w:tabs>
          <w:tab w:val="left" w:pos="777"/>
        </w:tabs>
        <w:spacing w:before="0" w:line="360" w:lineRule="auto"/>
        <w:ind w:right="290"/>
        <w:jc w:val="both"/>
      </w:pPr>
      <w:r w:rsidRPr="005E0CEC">
        <w:t>La delibera di approvazione della c.d. “carriera alias” (impropriamente detta “regolamento”) viola il principio di legalità della azione</w:t>
      </w:r>
      <w:r w:rsidRPr="005E0CEC">
        <w:rPr>
          <w:spacing w:val="-3"/>
        </w:rPr>
        <w:t xml:space="preserve"> </w:t>
      </w:r>
      <w:r w:rsidRPr="005E0CEC">
        <w:t>amministrativa,</w:t>
      </w:r>
      <w:r w:rsidRPr="005E0CEC">
        <w:rPr>
          <w:spacing w:val="-2"/>
        </w:rPr>
        <w:t xml:space="preserve"> </w:t>
      </w:r>
      <w:r w:rsidRPr="005E0CEC">
        <w:t>in</w:t>
      </w:r>
      <w:r w:rsidRPr="005E0CEC">
        <w:rPr>
          <w:spacing w:val="-3"/>
        </w:rPr>
        <w:t xml:space="preserve"> </w:t>
      </w:r>
      <w:r w:rsidRPr="005E0CEC">
        <w:t>quanto</w:t>
      </w:r>
      <w:r w:rsidRPr="005E0CEC">
        <w:rPr>
          <w:spacing w:val="-3"/>
        </w:rPr>
        <w:t xml:space="preserve"> </w:t>
      </w:r>
      <w:r w:rsidRPr="005E0CEC">
        <w:t>priva</w:t>
      </w:r>
      <w:r w:rsidRPr="005E0CEC">
        <w:rPr>
          <w:spacing w:val="-3"/>
        </w:rPr>
        <w:t xml:space="preserve"> </w:t>
      </w:r>
      <w:r w:rsidRPr="005E0CEC">
        <w:t>di</w:t>
      </w:r>
      <w:r w:rsidRPr="005E0CEC">
        <w:rPr>
          <w:spacing w:val="-2"/>
        </w:rPr>
        <w:t xml:space="preserve"> </w:t>
      </w:r>
      <w:r w:rsidRPr="005E0CEC">
        <w:t>qualsivoglia</w:t>
      </w:r>
      <w:r w:rsidRPr="005E0CEC">
        <w:rPr>
          <w:spacing w:val="-3"/>
        </w:rPr>
        <w:t xml:space="preserve"> </w:t>
      </w:r>
      <w:r w:rsidRPr="005E0CEC">
        <w:t>base</w:t>
      </w:r>
      <w:r w:rsidRPr="005E0CEC">
        <w:rPr>
          <w:spacing w:val="-3"/>
        </w:rPr>
        <w:t xml:space="preserve"> </w:t>
      </w:r>
      <w:r w:rsidRPr="005E0CEC">
        <w:t>legislativa;</w:t>
      </w:r>
      <w:r w:rsidRPr="005E0CEC">
        <w:rPr>
          <w:spacing w:val="-2"/>
        </w:rPr>
        <w:t xml:space="preserve"> </w:t>
      </w:r>
      <w:r w:rsidRPr="005E0CEC">
        <w:t>si</w:t>
      </w:r>
      <w:r w:rsidRPr="005E0CEC">
        <w:rPr>
          <w:spacing w:val="-2"/>
        </w:rPr>
        <w:t xml:space="preserve"> </w:t>
      </w:r>
      <w:r w:rsidRPr="005E0CEC">
        <w:t>configura</w:t>
      </w:r>
      <w:r w:rsidRPr="005E0CEC">
        <w:rPr>
          <w:spacing w:val="-3"/>
        </w:rPr>
        <w:t xml:space="preserve"> </w:t>
      </w:r>
      <w:r w:rsidRPr="005E0CEC">
        <w:t>come</w:t>
      </w:r>
      <w:r w:rsidRPr="005E0CEC">
        <w:rPr>
          <w:spacing w:val="-3"/>
        </w:rPr>
        <w:t xml:space="preserve"> </w:t>
      </w:r>
      <w:r w:rsidRPr="005E0CEC">
        <w:t>invalida</w:t>
      </w:r>
      <w:r w:rsidRPr="005E0CEC">
        <w:rPr>
          <w:spacing w:val="-3"/>
        </w:rPr>
        <w:t xml:space="preserve"> </w:t>
      </w:r>
      <w:r w:rsidRPr="005E0CEC">
        <w:t>in</w:t>
      </w:r>
      <w:r w:rsidRPr="005E0CEC">
        <w:rPr>
          <w:spacing w:val="-3"/>
        </w:rPr>
        <w:t xml:space="preserve"> </w:t>
      </w:r>
      <w:r w:rsidRPr="005E0CEC">
        <w:t>quanto</w:t>
      </w:r>
      <w:r w:rsidRPr="005E0CEC">
        <w:rPr>
          <w:spacing w:val="-3"/>
        </w:rPr>
        <w:t xml:space="preserve"> </w:t>
      </w:r>
      <w:r w:rsidRPr="005E0CEC">
        <w:t>adottata</w:t>
      </w:r>
      <w:r w:rsidRPr="005E0CEC">
        <w:rPr>
          <w:spacing w:val="-3"/>
        </w:rPr>
        <w:t xml:space="preserve"> </w:t>
      </w:r>
      <w:r w:rsidRPr="005E0CEC">
        <w:t>da</w:t>
      </w:r>
      <w:r w:rsidRPr="005E0CEC">
        <w:rPr>
          <w:spacing w:val="-3"/>
        </w:rPr>
        <w:t xml:space="preserve"> </w:t>
      </w:r>
      <w:r w:rsidRPr="005E0CEC">
        <w:t>organo con incompetenza assoluta e in aperto contrasto con norme sovraordinate. Infatti:</w:t>
      </w:r>
    </w:p>
    <w:p w14:paraId="69AA0D33" w14:textId="77777777" w:rsidR="00471CCA" w:rsidRPr="005E0CEC" w:rsidRDefault="007054BA" w:rsidP="005E0CEC">
      <w:pPr>
        <w:pStyle w:val="Paragrafoelenco"/>
        <w:numPr>
          <w:ilvl w:val="1"/>
          <w:numId w:val="2"/>
        </w:numPr>
        <w:tabs>
          <w:tab w:val="left" w:pos="1497"/>
        </w:tabs>
        <w:spacing w:before="56" w:line="360" w:lineRule="auto"/>
        <w:ind w:right="95"/>
        <w:jc w:val="both"/>
      </w:pPr>
      <w:r w:rsidRPr="005E0CEC">
        <w:t>l’articolo</w:t>
      </w:r>
      <w:r w:rsidRPr="005E0CEC">
        <w:rPr>
          <w:spacing w:val="-2"/>
        </w:rPr>
        <w:t xml:space="preserve"> </w:t>
      </w:r>
      <w:r w:rsidRPr="005E0CEC">
        <w:t>6</w:t>
      </w:r>
      <w:r w:rsidRPr="005E0CEC">
        <w:rPr>
          <w:spacing w:val="-2"/>
        </w:rPr>
        <w:t xml:space="preserve"> </w:t>
      </w:r>
      <w:r w:rsidRPr="005E0CEC">
        <w:t>del</w:t>
      </w:r>
      <w:r w:rsidRPr="005E0CEC">
        <w:rPr>
          <w:spacing w:val="-1"/>
        </w:rPr>
        <w:t xml:space="preserve"> </w:t>
      </w:r>
      <w:r w:rsidRPr="005E0CEC">
        <w:t>codice</w:t>
      </w:r>
      <w:r w:rsidRPr="005E0CEC">
        <w:rPr>
          <w:spacing w:val="-1"/>
        </w:rPr>
        <w:t xml:space="preserve"> </w:t>
      </w:r>
      <w:r w:rsidRPr="005E0CEC">
        <w:t>civile,</w:t>
      </w:r>
      <w:r w:rsidRPr="005E0CEC">
        <w:rPr>
          <w:spacing w:val="-1"/>
        </w:rPr>
        <w:t xml:space="preserve"> </w:t>
      </w:r>
      <w:r w:rsidRPr="005E0CEC">
        <w:t>rubricato</w:t>
      </w:r>
      <w:r w:rsidRPr="005E0CEC">
        <w:rPr>
          <w:spacing w:val="-2"/>
        </w:rPr>
        <w:t xml:space="preserve"> </w:t>
      </w:r>
      <w:r w:rsidRPr="005E0CEC">
        <w:t>“diritto</w:t>
      </w:r>
      <w:r w:rsidRPr="005E0CEC">
        <w:rPr>
          <w:spacing w:val="-2"/>
        </w:rPr>
        <w:t xml:space="preserve"> </w:t>
      </w:r>
      <w:r w:rsidRPr="005E0CEC">
        <w:t>al</w:t>
      </w:r>
      <w:r w:rsidRPr="005E0CEC">
        <w:rPr>
          <w:spacing w:val="-1"/>
        </w:rPr>
        <w:t xml:space="preserve"> </w:t>
      </w:r>
      <w:r w:rsidRPr="005E0CEC">
        <w:t>nome”,</w:t>
      </w:r>
      <w:r w:rsidRPr="005E0CEC">
        <w:rPr>
          <w:spacing w:val="-1"/>
        </w:rPr>
        <w:t xml:space="preserve"> </w:t>
      </w:r>
      <w:r w:rsidRPr="005E0CEC">
        <w:t>stabilisce</w:t>
      </w:r>
      <w:r w:rsidRPr="005E0CEC">
        <w:rPr>
          <w:spacing w:val="-1"/>
        </w:rPr>
        <w:t xml:space="preserve"> </w:t>
      </w:r>
      <w:r w:rsidRPr="005E0CEC">
        <w:t>che:</w:t>
      </w:r>
      <w:r w:rsidRPr="005E0CEC">
        <w:rPr>
          <w:spacing w:val="-1"/>
        </w:rPr>
        <w:t xml:space="preserve"> </w:t>
      </w:r>
      <w:r w:rsidRPr="005E0CEC">
        <w:t>1.</w:t>
      </w:r>
      <w:r w:rsidRPr="005E0CEC">
        <w:rPr>
          <w:spacing w:val="-1"/>
        </w:rPr>
        <w:t xml:space="preserve"> </w:t>
      </w:r>
      <w:r w:rsidRPr="005E0CEC">
        <w:rPr>
          <w:i/>
        </w:rPr>
        <w:t>«ogni</w:t>
      </w:r>
      <w:r w:rsidRPr="005E0CEC">
        <w:rPr>
          <w:i/>
          <w:spacing w:val="-1"/>
        </w:rPr>
        <w:t xml:space="preserve"> </w:t>
      </w:r>
      <w:r w:rsidRPr="005E0CEC">
        <w:rPr>
          <w:i/>
        </w:rPr>
        <w:t>persona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ha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diritto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al</w:t>
      </w:r>
      <w:r w:rsidRPr="005E0CEC">
        <w:rPr>
          <w:i/>
          <w:spacing w:val="-1"/>
        </w:rPr>
        <w:t xml:space="preserve"> </w:t>
      </w:r>
      <w:r w:rsidRPr="005E0CEC">
        <w:rPr>
          <w:i/>
        </w:rPr>
        <w:t>nome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che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le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è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per legge attribuito»</w:t>
      </w:r>
      <w:r w:rsidRPr="005E0CEC">
        <w:t xml:space="preserve">; 2. </w:t>
      </w:r>
      <w:r w:rsidRPr="005E0CEC">
        <w:rPr>
          <w:i/>
        </w:rPr>
        <w:t>«nel nome si comprendono il prenome e il cognome»</w:t>
      </w:r>
      <w:r w:rsidRPr="005E0CEC">
        <w:t xml:space="preserve">; 3. </w:t>
      </w:r>
      <w:r w:rsidRPr="005E0CEC">
        <w:rPr>
          <w:i/>
        </w:rPr>
        <w:t xml:space="preserve">«non sono ammessi cambiamenti, aggiunte o rettifiche al nome </w:t>
      </w:r>
      <w:r w:rsidRPr="005E0CEC">
        <w:rPr>
          <w:b/>
          <w:i/>
        </w:rPr>
        <w:t>se non nei casi e con le formalità dalla legge indicati</w:t>
      </w:r>
      <w:r w:rsidRPr="005E0CEC">
        <w:rPr>
          <w:i/>
        </w:rPr>
        <w:t>»</w:t>
      </w:r>
      <w:r w:rsidRPr="005E0CEC">
        <w:t>, ovvero attraverso sentenza del tribunale passata in giudicato (ex art. 454 c.c.);</w:t>
      </w:r>
    </w:p>
    <w:p w14:paraId="3BC94F7E" w14:textId="77777777" w:rsidR="00471CCA" w:rsidRPr="005E0CEC" w:rsidRDefault="007054BA" w:rsidP="005E0CEC">
      <w:pPr>
        <w:pStyle w:val="Paragrafoelenco"/>
        <w:numPr>
          <w:ilvl w:val="1"/>
          <w:numId w:val="2"/>
        </w:numPr>
        <w:tabs>
          <w:tab w:val="left" w:pos="1497"/>
        </w:tabs>
        <w:spacing w:line="360" w:lineRule="auto"/>
        <w:ind w:right="164"/>
        <w:jc w:val="both"/>
      </w:pPr>
      <w:r w:rsidRPr="005E0CEC">
        <w:t xml:space="preserve">la legge 164/82, intitolata “Norme in materia di rettificazione di attribuzione di sesso”, all’art. 1 stabilisce che: </w:t>
      </w:r>
      <w:r w:rsidRPr="005E0CEC">
        <w:rPr>
          <w:i/>
        </w:rPr>
        <w:t>«La rettificazione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di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cui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all’articolo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454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del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codice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civile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si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fa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anche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in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forza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di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sentenza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del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tribunale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passata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in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 xml:space="preserve">giudicato che attribuisca ad una persona sesso diverso da quello enunciato nell’atto di nascita </w:t>
      </w:r>
      <w:r w:rsidRPr="005E0CEC">
        <w:rPr>
          <w:b/>
          <w:i/>
        </w:rPr>
        <w:t>a seguito di intervenute modificazioni dei suoi caratteri sessuali</w:t>
      </w:r>
      <w:r w:rsidRPr="005E0CEC">
        <w:rPr>
          <w:i/>
        </w:rPr>
        <w:t>»</w:t>
      </w:r>
      <w:r w:rsidRPr="005E0CEC">
        <w:t>;</w:t>
      </w:r>
    </w:p>
    <w:p w14:paraId="34FB792E" w14:textId="77777777" w:rsidR="00471CCA" w:rsidRPr="005E0CEC" w:rsidRDefault="007054BA" w:rsidP="005E0CEC">
      <w:pPr>
        <w:pStyle w:val="Paragrafoelenco"/>
        <w:numPr>
          <w:ilvl w:val="1"/>
          <w:numId w:val="2"/>
        </w:numPr>
        <w:tabs>
          <w:tab w:val="left" w:pos="1497"/>
        </w:tabs>
        <w:spacing w:before="55" w:line="360" w:lineRule="auto"/>
        <w:ind w:right="800"/>
        <w:jc w:val="both"/>
      </w:pPr>
      <w:r w:rsidRPr="005E0CEC">
        <w:t>l’articolo</w:t>
      </w:r>
      <w:r w:rsidRPr="005E0CEC">
        <w:rPr>
          <w:spacing w:val="-3"/>
        </w:rPr>
        <w:t xml:space="preserve"> </w:t>
      </w:r>
      <w:r w:rsidRPr="005E0CEC">
        <w:t>35</w:t>
      </w:r>
      <w:r w:rsidRPr="005E0CEC">
        <w:rPr>
          <w:spacing w:val="-3"/>
        </w:rPr>
        <w:t xml:space="preserve"> </w:t>
      </w:r>
      <w:r w:rsidRPr="005E0CEC">
        <w:t>dell’Ordinamento</w:t>
      </w:r>
      <w:r w:rsidRPr="005E0CEC">
        <w:rPr>
          <w:spacing w:val="-3"/>
        </w:rPr>
        <w:t xml:space="preserve"> </w:t>
      </w:r>
      <w:r w:rsidRPr="005E0CEC">
        <w:t>dello</w:t>
      </w:r>
      <w:r w:rsidRPr="005E0CEC">
        <w:rPr>
          <w:spacing w:val="-3"/>
        </w:rPr>
        <w:t xml:space="preserve"> </w:t>
      </w:r>
      <w:r w:rsidRPr="005E0CEC">
        <w:t>stato</w:t>
      </w:r>
      <w:r w:rsidRPr="005E0CEC">
        <w:rPr>
          <w:spacing w:val="-3"/>
        </w:rPr>
        <w:t xml:space="preserve"> </w:t>
      </w:r>
      <w:r w:rsidRPr="005E0CEC">
        <w:t>civile</w:t>
      </w:r>
      <w:r w:rsidRPr="005E0CEC">
        <w:rPr>
          <w:spacing w:val="-2"/>
        </w:rPr>
        <w:t xml:space="preserve"> </w:t>
      </w:r>
      <w:r w:rsidRPr="005E0CEC">
        <w:t>(dpr</w:t>
      </w:r>
      <w:r w:rsidRPr="005E0CEC">
        <w:rPr>
          <w:spacing w:val="-2"/>
        </w:rPr>
        <w:t xml:space="preserve"> </w:t>
      </w:r>
      <w:r w:rsidRPr="005E0CEC">
        <w:t>396/2000),</w:t>
      </w:r>
      <w:r w:rsidRPr="005E0CEC">
        <w:rPr>
          <w:spacing w:val="-2"/>
        </w:rPr>
        <w:t xml:space="preserve"> </w:t>
      </w:r>
      <w:r w:rsidRPr="005E0CEC">
        <w:t>esordisce:</w:t>
      </w:r>
      <w:r w:rsidRPr="005E0CEC">
        <w:rPr>
          <w:spacing w:val="-1"/>
        </w:rPr>
        <w:t xml:space="preserve"> </w:t>
      </w:r>
      <w:r w:rsidRPr="005E0CEC">
        <w:rPr>
          <w:i/>
        </w:rPr>
        <w:t>«il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nome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imposto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al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bambino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deve corrispondere al sesso...»</w:t>
      </w:r>
      <w:r w:rsidRPr="005E0CEC">
        <w:t>.</w:t>
      </w:r>
    </w:p>
    <w:p w14:paraId="2E649C79" w14:textId="77777777" w:rsidR="00471CCA" w:rsidRPr="005E0CEC" w:rsidRDefault="007054BA" w:rsidP="005E0CEC">
      <w:pPr>
        <w:pStyle w:val="Corpotesto"/>
        <w:spacing w:before="57" w:line="360" w:lineRule="auto"/>
        <w:ind w:left="765" w:right="571"/>
        <w:jc w:val="both"/>
        <w:rPr>
          <w:sz w:val="22"/>
          <w:szCs w:val="22"/>
        </w:rPr>
      </w:pPr>
      <w:r w:rsidRPr="005E0CEC">
        <w:rPr>
          <w:sz w:val="22"/>
          <w:szCs w:val="22"/>
        </w:rPr>
        <w:t>Dal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combinato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disposto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delle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norme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citate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discende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che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il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nome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di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una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persona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debba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corrispondere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al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sesso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possa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 xml:space="preserve">subire modificazioni soltanto a seguito di una sentenza </w:t>
      </w:r>
      <w:r w:rsidRPr="005E0CEC">
        <w:rPr>
          <w:i/>
          <w:sz w:val="22"/>
          <w:szCs w:val="22"/>
        </w:rPr>
        <w:t>ad hoc</w:t>
      </w:r>
      <w:r w:rsidRPr="005E0CEC">
        <w:rPr>
          <w:sz w:val="22"/>
          <w:szCs w:val="22"/>
        </w:rPr>
        <w:t>, gli effetti della quale non è previsto possano essere in alcun modo anticipati in sede amministrativa.</w:t>
      </w:r>
    </w:p>
    <w:p w14:paraId="64D3A1BA" w14:textId="77777777" w:rsidR="00471CCA" w:rsidRPr="005E0CEC" w:rsidRDefault="007054BA" w:rsidP="005E0CEC">
      <w:pPr>
        <w:pStyle w:val="Paragrafoelenco"/>
        <w:numPr>
          <w:ilvl w:val="0"/>
          <w:numId w:val="2"/>
        </w:numPr>
        <w:tabs>
          <w:tab w:val="left" w:pos="777"/>
        </w:tabs>
        <w:spacing w:before="55" w:line="360" w:lineRule="auto"/>
        <w:ind w:right="82"/>
        <w:jc w:val="both"/>
      </w:pPr>
      <w:r w:rsidRPr="005E0CEC">
        <w:t>La circostanza che la “carriera alias” sia già stata approvata da altre scuole – o che sia prevista da circolari ministeriali o per i lavoratori</w:t>
      </w:r>
      <w:r w:rsidRPr="005E0CEC">
        <w:rPr>
          <w:spacing w:val="-2"/>
        </w:rPr>
        <w:t xml:space="preserve"> </w:t>
      </w:r>
      <w:r w:rsidRPr="005E0CEC">
        <w:t>(maggiorenni)</w:t>
      </w:r>
      <w:r w:rsidRPr="005E0CEC">
        <w:rPr>
          <w:spacing w:val="-2"/>
        </w:rPr>
        <w:t xml:space="preserve"> </w:t>
      </w:r>
      <w:r w:rsidRPr="005E0CEC">
        <w:t>della</w:t>
      </w:r>
      <w:r w:rsidRPr="005E0CEC">
        <w:rPr>
          <w:spacing w:val="-2"/>
        </w:rPr>
        <w:t xml:space="preserve"> </w:t>
      </w:r>
      <w:r w:rsidRPr="005E0CEC">
        <w:t>scuola</w:t>
      </w:r>
      <w:r w:rsidRPr="005E0CEC">
        <w:rPr>
          <w:spacing w:val="-2"/>
        </w:rPr>
        <w:t xml:space="preserve"> </w:t>
      </w:r>
      <w:r w:rsidRPr="005E0CEC">
        <w:t>dall’art.</w:t>
      </w:r>
      <w:r w:rsidRPr="005E0CEC">
        <w:rPr>
          <w:spacing w:val="-2"/>
        </w:rPr>
        <w:t xml:space="preserve"> </w:t>
      </w:r>
      <w:r w:rsidRPr="005E0CEC">
        <w:t>21</w:t>
      </w:r>
      <w:r w:rsidRPr="005E0CEC">
        <w:rPr>
          <w:spacing w:val="-3"/>
        </w:rPr>
        <w:t xml:space="preserve"> </w:t>
      </w:r>
      <w:r w:rsidRPr="005E0CEC">
        <w:t>del</w:t>
      </w:r>
      <w:r w:rsidRPr="005E0CEC">
        <w:rPr>
          <w:spacing w:val="-2"/>
        </w:rPr>
        <w:t xml:space="preserve"> </w:t>
      </w:r>
      <w:r w:rsidRPr="005E0CEC">
        <w:t>CCNL</w:t>
      </w:r>
      <w:r w:rsidRPr="005E0CEC">
        <w:rPr>
          <w:spacing w:val="-10"/>
        </w:rPr>
        <w:t xml:space="preserve"> </w:t>
      </w:r>
      <w:r w:rsidRPr="005E0CEC">
        <w:t>2019/2021</w:t>
      </w:r>
      <w:r w:rsidRPr="005E0CEC">
        <w:rPr>
          <w:spacing w:val="-2"/>
        </w:rPr>
        <w:t xml:space="preserve"> </w:t>
      </w:r>
      <w:r w:rsidRPr="005E0CEC">
        <w:t>–</w:t>
      </w:r>
      <w:r w:rsidRPr="005E0CEC">
        <w:rPr>
          <w:spacing w:val="-3"/>
        </w:rPr>
        <w:t xml:space="preserve"> </w:t>
      </w:r>
      <w:r w:rsidRPr="005E0CEC">
        <w:t>non</w:t>
      </w:r>
      <w:r w:rsidRPr="005E0CEC">
        <w:rPr>
          <w:spacing w:val="-3"/>
        </w:rPr>
        <w:t xml:space="preserve"> </w:t>
      </w:r>
      <w:r w:rsidRPr="005E0CEC">
        <w:t>esclude</w:t>
      </w:r>
      <w:r w:rsidRPr="005E0CEC">
        <w:rPr>
          <w:spacing w:val="-3"/>
        </w:rPr>
        <w:t xml:space="preserve"> </w:t>
      </w:r>
      <w:r w:rsidRPr="005E0CEC">
        <w:t>l’invalidità</w:t>
      </w:r>
      <w:r w:rsidRPr="005E0CEC">
        <w:rPr>
          <w:spacing w:val="-3"/>
        </w:rPr>
        <w:t xml:space="preserve"> </w:t>
      </w:r>
      <w:r w:rsidRPr="005E0CEC">
        <w:t>del</w:t>
      </w:r>
      <w:r w:rsidRPr="005E0CEC">
        <w:rPr>
          <w:spacing w:val="-2"/>
        </w:rPr>
        <w:t xml:space="preserve"> </w:t>
      </w:r>
      <w:r w:rsidRPr="005E0CEC">
        <w:t>singolo</w:t>
      </w:r>
      <w:r w:rsidRPr="005E0CEC">
        <w:rPr>
          <w:spacing w:val="-3"/>
        </w:rPr>
        <w:t xml:space="preserve"> </w:t>
      </w:r>
      <w:r w:rsidRPr="005E0CEC">
        <w:t>provvedimento</w:t>
      </w:r>
      <w:r w:rsidRPr="005E0CEC">
        <w:rPr>
          <w:spacing w:val="-4"/>
        </w:rPr>
        <w:t xml:space="preserve"> </w:t>
      </w:r>
      <w:r w:rsidRPr="005E0CEC">
        <w:t>né</w:t>
      </w:r>
      <w:r w:rsidRPr="005E0CEC">
        <w:rPr>
          <w:spacing w:val="-3"/>
        </w:rPr>
        <w:t xml:space="preserve"> </w:t>
      </w:r>
      <w:r w:rsidRPr="005E0CEC">
        <w:t>la responsabilità di chi se ne assuma la paternità: l’antigiuridicità di una condotta non viene meno né si affievolisce in ragione della diffusione della condotta medesima (all’estero sono già state avviate azioni di risarcimento per i danni procurati sui minori dai protocolli affermativi).</w:t>
      </w:r>
    </w:p>
    <w:p w14:paraId="25F03942" w14:textId="77777777" w:rsidR="00471CCA" w:rsidRPr="005E0CEC" w:rsidRDefault="007054BA" w:rsidP="005E0CEC">
      <w:pPr>
        <w:pStyle w:val="Paragrafoelenco"/>
        <w:numPr>
          <w:ilvl w:val="0"/>
          <w:numId w:val="2"/>
        </w:numPr>
        <w:tabs>
          <w:tab w:val="left" w:pos="777"/>
        </w:tabs>
        <w:spacing w:line="360" w:lineRule="auto"/>
        <w:ind w:right="437"/>
        <w:jc w:val="both"/>
      </w:pPr>
      <w:r w:rsidRPr="005E0CEC">
        <w:t>In</w:t>
      </w:r>
      <w:r w:rsidRPr="005E0CEC">
        <w:rPr>
          <w:spacing w:val="-3"/>
        </w:rPr>
        <w:t xml:space="preserve"> </w:t>
      </w:r>
      <w:r w:rsidRPr="005E0CEC">
        <w:t>particolare,</w:t>
      </w:r>
      <w:r w:rsidRPr="005E0CEC">
        <w:rPr>
          <w:spacing w:val="-2"/>
        </w:rPr>
        <w:t xml:space="preserve"> </w:t>
      </w:r>
      <w:r w:rsidRPr="005E0CEC">
        <w:t>soggetti</w:t>
      </w:r>
      <w:r w:rsidRPr="005E0CEC">
        <w:rPr>
          <w:spacing w:val="-2"/>
        </w:rPr>
        <w:t xml:space="preserve"> </w:t>
      </w:r>
      <w:r w:rsidRPr="005E0CEC">
        <w:t>quali</w:t>
      </w:r>
      <w:r w:rsidRPr="005E0CEC">
        <w:rPr>
          <w:spacing w:val="-2"/>
        </w:rPr>
        <w:t xml:space="preserve"> </w:t>
      </w:r>
      <w:r w:rsidRPr="005E0CEC">
        <w:t>il</w:t>
      </w:r>
      <w:r w:rsidRPr="005E0CEC">
        <w:rPr>
          <w:spacing w:val="-2"/>
        </w:rPr>
        <w:t xml:space="preserve"> </w:t>
      </w:r>
      <w:r w:rsidRPr="005E0CEC">
        <w:t>dirigente</w:t>
      </w:r>
      <w:r w:rsidRPr="005E0CEC">
        <w:rPr>
          <w:spacing w:val="-3"/>
        </w:rPr>
        <w:t xml:space="preserve"> </w:t>
      </w:r>
      <w:r w:rsidRPr="005E0CEC">
        <w:t>scolastico</w:t>
      </w:r>
      <w:r w:rsidRPr="005E0CEC">
        <w:rPr>
          <w:spacing w:val="-3"/>
        </w:rPr>
        <w:t xml:space="preserve"> </w:t>
      </w:r>
      <w:r w:rsidRPr="005E0CEC">
        <w:t>e</w:t>
      </w:r>
      <w:r w:rsidRPr="005E0CEC">
        <w:rPr>
          <w:spacing w:val="-3"/>
        </w:rPr>
        <w:t xml:space="preserve"> </w:t>
      </w:r>
      <w:r w:rsidRPr="005E0CEC">
        <w:t>i</w:t>
      </w:r>
      <w:r w:rsidRPr="005E0CEC">
        <w:rPr>
          <w:spacing w:val="-2"/>
        </w:rPr>
        <w:t xml:space="preserve"> </w:t>
      </w:r>
      <w:r w:rsidRPr="005E0CEC">
        <w:t>docenti,</w:t>
      </w:r>
      <w:r w:rsidRPr="005E0CEC">
        <w:rPr>
          <w:spacing w:val="-2"/>
        </w:rPr>
        <w:t xml:space="preserve"> </w:t>
      </w:r>
      <w:r w:rsidRPr="005E0CEC">
        <w:t>che</w:t>
      </w:r>
      <w:r w:rsidRPr="005E0CEC">
        <w:rPr>
          <w:spacing w:val="-2"/>
        </w:rPr>
        <w:t xml:space="preserve"> </w:t>
      </w:r>
      <w:r w:rsidRPr="005E0CEC">
        <w:t>nell’esercizio</w:t>
      </w:r>
      <w:r w:rsidRPr="005E0CEC">
        <w:rPr>
          <w:spacing w:val="-3"/>
        </w:rPr>
        <w:t xml:space="preserve"> </w:t>
      </w:r>
      <w:r w:rsidRPr="005E0CEC">
        <w:t>delle</w:t>
      </w:r>
      <w:r w:rsidRPr="005E0CEC">
        <w:rPr>
          <w:spacing w:val="-2"/>
        </w:rPr>
        <w:t xml:space="preserve"> </w:t>
      </w:r>
      <w:r w:rsidRPr="005E0CEC">
        <w:t>rispettive</w:t>
      </w:r>
      <w:r w:rsidRPr="005E0CEC">
        <w:rPr>
          <w:spacing w:val="-2"/>
        </w:rPr>
        <w:t xml:space="preserve"> </w:t>
      </w:r>
      <w:r w:rsidRPr="005E0CEC">
        <w:lastRenderedPageBreak/>
        <w:t>funzioni</w:t>
      </w:r>
      <w:r w:rsidRPr="005E0CEC">
        <w:rPr>
          <w:spacing w:val="-2"/>
        </w:rPr>
        <w:t xml:space="preserve"> </w:t>
      </w:r>
      <w:r w:rsidRPr="005E0CEC">
        <w:t>rivestono</w:t>
      </w:r>
      <w:r w:rsidRPr="005E0CEC">
        <w:rPr>
          <w:spacing w:val="-3"/>
        </w:rPr>
        <w:t xml:space="preserve"> </w:t>
      </w:r>
      <w:r w:rsidRPr="005E0CEC">
        <w:t>il</w:t>
      </w:r>
      <w:r w:rsidRPr="005E0CEC">
        <w:rPr>
          <w:spacing w:val="-2"/>
        </w:rPr>
        <w:t xml:space="preserve"> </w:t>
      </w:r>
      <w:r w:rsidRPr="005E0CEC">
        <w:t>ruolo</w:t>
      </w:r>
      <w:r w:rsidRPr="005E0CEC">
        <w:rPr>
          <w:spacing w:val="-3"/>
        </w:rPr>
        <w:t xml:space="preserve"> </w:t>
      </w:r>
      <w:r w:rsidRPr="005E0CEC">
        <w:t xml:space="preserve">di pubblici ufficiali, si espongono al rischio concreto di integrare con la propria condotta la fattispecie penale del </w:t>
      </w:r>
      <w:r w:rsidRPr="005E0CEC">
        <w:rPr>
          <w:b/>
        </w:rPr>
        <w:t xml:space="preserve">falso in atto </w:t>
      </w:r>
      <w:r w:rsidRPr="005E0CEC">
        <w:rPr>
          <w:b/>
          <w:spacing w:val="-2"/>
        </w:rPr>
        <w:t>pubblico</w:t>
      </w:r>
      <w:r w:rsidRPr="005E0CEC">
        <w:rPr>
          <w:spacing w:val="-2"/>
        </w:rPr>
        <w:t>.</w:t>
      </w:r>
    </w:p>
    <w:p w14:paraId="0BD166E8" w14:textId="77777777" w:rsidR="00471CCA" w:rsidRPr="005E0CEC" w:rsidRDefault="007054BA" w:rsidP="005E0CEC">
      <w:pPr>
        <w:pStyle w:val="Paragrafoelenco"/>
        <w:numPr>
          <w:ilvl w:val="0"/>
          <w:numId w:val="2"/>
        </w:numPr>
        <w:tabs>
          <w:tab w:val="left" w:pos="777"/>
        </w:tabs>
        <w:spacing w:before="56" w:line="360" w:lineRule="auto"/>
        <w:jc w:val="both"/>
      </w:pPr>
      <w:r w:rsidRPr="005E0CEC">
        <w:t>La</w:t>
      </w:r>
      <w:r w:rsidRPr="005E0CEC">
        <w:rPr>
          <w:spacing w:val="-2"/>
        </w:rPr>
        <w:t xml:space="preserve"> </w:t>
      </w:r>
      <w:r w:rsidRPr="005E0CEC">
        <w:t>materia</w:t>
      </w:r>
      <w:r w:rsidRPr="005E0CEC">
        <w:rPr>
          <w:spacing w:val="-2"/>
        </w:rPr>
        <w:t xml:space="preserve"> </w:t>
      </w:r>
      <w:r w:rsidRPr="005E0CEC">
        <w:t>in</w:t>
      </w:r>
      <w:r w:rsidRPr="005E0CEC">
        <w:rPr>
          <w:spacing w:val="-2"/>
        </w:rPr>
        <w:t xml:space="preserve"> </w:t>
      </w:r>
      <w:r w:rsidRPr="005E0CEC">
        <w:t>oggetto</w:t>
      </w:r>
      <w:r w:rsidRPr="005E0CEC">
        <w:rPr>
          <w:spacing w:val="-2"/>
        </w:rPr>
        <w:t xml:space="preserve"> </w:t>
      </w:r>
      <w:r w:rsidRPr="005E0CEC">
        <w:t>fuoriesce</w:t>
      </w:r>
      <w:r w:rsidRPr="005E0CEC">
        <w:rPr>
          <w:spacing w:val="-2"/>
        </w:rPr>
        <w:t xml:space="preserve"> </w:t>
      </w:r>
      <w:r w:rsidRPr="005E0CEC">
        <w:t>dal</w:t>
      </w:r>
      <w:r w:rsidRPr="005E0CEC">
        <w:rPr>
          <w:spacing w:val="-1"/>
        </w:rPr>
        <w:t xml:space="preserve"> </w:t>
      </w:r>
      <w:r w:rsidRPr="005E0CEC">
        <w:t>perimetro</w:t>
      </w:r>
      <w:r w:rsidRPr="005E0CEC">
        <w:rPr>
          <w:spacing w:val="-2"/>
        </w:rPr>
        <w:t xml:space="preserve"> </w:t>
      </w:r>
      <w:r w:rsidRPr="005E0CEC">
        <w:t>classico</w:t>
      </w:r>
      <w:r w:rsidRPr="005E0CEC">
        <w:rPr>
          <w:spacing w:val="-2"/>
        </w:rPr>
        <w:t xml:space="preserve"> </w:t>
      </w:r>
      <w:r w:rsidRPr="005E0CEC">
        <w:t>entro</w:t>
      </w:r>
      <w:r w:rsidRPr="005E0CEC">
        <w:rPr>
          <w:spacing w:val="-2"/>
        </w:rPr>
        <w:t xml:space="preserve"> </w:t>
      </w:r>
      <w:r w:rsidRPr="005E0CEC">
        <w:t>cui</w:t>
      </w:r>
      <w:r w:rsidRPr="005E0CEC">
        <w:rPr>
          <w:spacing w:val="-1"/>
        </w:rPr>
        <w:t xml:space="preserve"> </w:t>
      </w:r>
      <w:r w:rsidRPr="005E0CEC">
        <w:t>si</w:t>
      </w:r>
      <w:r w:rsidRPr="005E0CEC">
        <w:rPr>
          <w:spacing w:val="-1"/>
        </w:rPr>
        <w:t xml:space="preserve"> </w:t>
      </w:r>
      <w:r w:rsidRPr="005E0CEC">
        <w:t>esercita</w:t>
      </w:r>
      <w:r w:rsidRPr="005E0CEC">
        <w:rPr>
          <w:spacing w:val="-2"/>
        </w:rPr>
        <w:t xml:space="preserve"> </w:t>
      </w:r>
      <w:r w:rsidRPr="005E0CEC">
        <w:t>l’autonomia</w:t>
      </w:r>
      <w:r w:rsidRPr="005E0CEC">
        <w:rPr>
          <w:spacing w:val="-2"/>
        </w:rPr>
        <w:t xml:space="preserve"> </w:t>
      </w:r>
      <w:r w:rsidRPr="005E0CEC">
        <w:t>scolastica</w:t>
      </w:r>
      <w:r w:rsidRPr="005E0CEC">
        <w:rPr>
          <w:spacing w:val="-2"/>
        </w:rPr>
        <w:t xml:space="preserve"> </w:t>
      </w:r>
      <w:r w:rsidRPr="005E0CEC">
        <w:t>di</w:t>
      </w:r>
      <w:r w:rsidRPr="005E0CEC">
        <w:rPr>
          <w:spacing w:val="-1"/>
        </w:rPr>
        <w:t xml:space="preserve"> </w:t>
      </w:r>
      <w:r w:rsidRPr="005E0CEC">
        <w:t>cui</w:t>
      </w:r>
      <w:r w:rsidRPr="005E0CEC">
        <w:rPr>
          <w:spacing w:val="-1"/>
        </w:rPr>
        <w:t xml:space="preserve"> </w:t>
      </w:r>
      <w:r w:rsidRPr="005E0CEC">
        <w:t>al</w:t>
      </w:r>
      <w:r w:rsidRPr="005E0CEC">
        <w:rPr>
          <w:spacing w:val="-1"/>
        </w:rPr>
        <w:t xml:space="preserve"> </w:t>
      </w:r>
      <w:r w:rsidRPr="005E0CEC">
        <w:t>dpr</w:t>
      </w:r>
      <w:r w:rsidRPr="005E0CEC">
        <w:rPr>
          <w:spacing w:val="-1"/>
        </w:rPr>
        <w:t xml:space="preserve"> </w:t>
      </w:r>
      <w:r w:rsidRPr="005E0CEC">
        <w:t>275/99</w:t>
      </w:r>
      <w:r w:rsidRPr="005E0CEC">
        <w:rPr>
          <w:spacing w:val="-2"/>
        </w:rPr>
        <w:t xml:space="preserve"> </w:t>
      </w:r>
      <w:r w:rsidRPr="005E0CEC">
        <w:t xml:space="preserve">(“autonomia amministrativa, didattica e organizzativa”) e quindi anche dalla competenza del Consiglio di Istituto (organo “di indirizzo e di gestione degli aspetti economici e organizzativi generali della scuola”), dato che investe un ambito </w:t>
      </w:r>
      <w:proofErr w:type="spellStart"/>
      <w:r w:rsidRPr="005E0CEC">
        <w:rPr>
          <w:i/>
        </w:rPr>
        <w:t>stricto</w:t>
      </w:r>
      <w:proofErr w:type="spellEnd"/>
      <w:r w:rsidRPr="005E0CEC">
        <w:rPr>
          <w:i/>
        </w:rPr>
        <w:t xml:space="preserve"> </w:t>
      </w:r>
      <w:proofErr w:type="spellStart"/>
      <w:r w:rsidRPr="005E0CEC">
        <w:rPr>
          <w:i/>
        </w:rPr>
        <w:t>sensu</w:t>
      </w:r>
      <w:proofErr w:type="spellEnd"/>
      <w:r w:rsidRPr="005E0CEC">
        <w:rPr>
          <w:i/>
        </w:rPr>
        <w:t xml:space="preserve"> </w:t>
      </w:r>
      <w:r w:rsidRPr="005E0CEC">
        <w:t>educativo, di pertinenza esclusiva del padre e della madre ex art. 30 della Costituzione italiana.</w:t>
      </w:r>
    </w:p>
    <w:p w14:paraId="7B658228" w14:textId="77777777" w:rsidR="00471CCA" w:rsidRPr="005E0CEC" w:rsidRDefault="007054BA" w:rsidP="005E0CEC">
      <w:pPr>
        <w:pStyle w:val="Paragrafoelenco"/>
        <w:numPr>
          <w:ilvl w:val="0"/>
          <w:numId w:val="2"/>
        </w:numPr>
        <w:tabs>
          <w:tab w:val="left" w:pos="777"/>
        </w:tabs>
        <w:spacing w:line="360" w:lineRule="auto"/>
        <w:ind w:right="183"/>
        <w:jc w:val="both"/>
      </w:pPr>
      <w:r w:rsidRPr="005E0CEC">
        <w:t xml:space="preserve">La “carriera alias” si pone </w:t>
      </w:r>
      <w:r w:rsidRPr="005E0CEC">
        <w:rPr>
          <w:i/>
        </w:rPr>
        <w:t xml:space="preserve">espressamente </w:t>
      </w:r>
      <w:r w:rsidRPr="005E0CEC">
        <w:t xml:space="preserve">in un continuum programmatico con la transizione ormonale e chirurgica, ossia con i protocolli di rettificazione di sesso (che culminano con la cosiddetta chirurgia correttiva: falloplastiche, </w:t>
      </w:r>
      <w:proofErr w:type="spellStart"/>
      <w:r w:rsidRPr="005E0CEC">
        <w:t>vaginoplastiche</w:t>
      </w:r>
      <w:proofErr w:type="spellEnd"/>
      <w:r w:rsidRPr="005E0CEC">
        <w:t xml:space="preserve">, mastectomie, </w:t>
      </w:r>
      <w:proofErr w:type="spellStart"/>
      <w:r w:rsidRPr="005E0CEC">
        <w:t>condrolaringoplastiche</w:t>
      </w:r>
      <w:proofErr w:type="spellEnd"/>
      <w:r w:rsidRPr="005E0CEC">
        <w:t>). La funzione della “carriera alias” è quindi quella di fungere da anticamera agli stadi successivi,</w:t>
      </w:r>
      <w:r w:rsidRPr="005E0CEC">
        <w:rPr>
          <w:spacing w:val="-2"/>
        </w:rPr>
        <w:t xml:space="preserve"> </w:t>
      </w:r>
      <w:r w:rsidRPr="005E0CEC">
        <w:t>e</w:t>
      </w:r>
      <w:r w:rsidRPr="005E0CEC">
        <w:rPr>
          <w:spacing w:val="-3"/>
        </w:rPr>
        <w:t xml:space="preserve"> </w:t>
      </w:r>
      <w:r w:rsidRPr="005E0CEC">
        <w:t>irreversibili,</w:t>
      </w:r>
      <w:r w:rsidRPr="005E0CEC">
        <w:rPr>
          <w:spacing w:val="-2"/>
        </w:rPr>
        <w:t xml:space="preserve"> </w:t>
      </w:r>
      <w:r w:rsidRPr="005E0CEC">
        <w:t>del</w:t>
      </w:r>
      <w:r w:rsidRPr="005E0CEC">
        <w:rPr>
          <w:spacing w:val="-2"/>
        </w:rPr>
        <w:t xml:space="preserve"> </w:t>
      </w:r>
      <w:r w:rsidRPr="005E0CEC">
        <w:t>“cambio</w:t>
      </w:r>
      <w:r w:rsidRPr="005E0CEC">
        <w:rPr>
          <w:spacing w:val="-3"/>
        </w:rPr>
        <w:t xml:space="preserve"> </w:t>
      </w:r>
      <w:r w:rsidRPr="005E0CEC">
        <w:t>di</w:t>
      </w:r>
      <w:r w:rsidRPr="005E0CEC">
        <w:rPr>
          <w:spacing w:val="-2"/>
        </w:rPr>
        <w:t xml:space="preserve"> </w:t>
      </w:r>
      <w:r w:rsidRPr="005E0CEC">
        <w:t>sesso”,</w:t>
      </w:r>
      <w:r w:rsidRPr="005E0CEC">
        <w:rPr>
          <w:spacing w:val="-2"/>
        </w:rPr>
        <w:t xml:space="preserve"> </w:t>
      </w:r>
      <w:r w:rsidRPr="005E0CEC">
        <w:t>di</w:t>
      </w:r>
      <w:r w:rsidRPr="005E0CEC">
        <w:rPr>
          <w:spacing w:val="-2"/>
        </w:rPr>
        <w:t xml:space="preserve"> </w:t>
      </w:r>
      <w:r w:rsidRPr="005E0CEC">
        <w:t>cui</w:t>
      </w:r>
      <w:r w:rsidRPr="005E0CEC">
        <w:rPr>
          <w:spacing w:val="-2"/>
        </w:rPr>
        <w:t xml:space="preserve"> </w:t>
      </w:r>
      <w:r w:rsidRPr="005E0CEC">
        <w:t>il</w:t>
      </w:r>
      <w:r w:rsidRPr="005E0CEC">
        <w:rPr>
          <w:spacing w:val="-2"/>
        </w:rPr>
        <w:t xml:space="preserve"> </w:t>
      </w:r>
      <w:r w:rsidRPr="005E0CEC">
        <w:t>“cambio</w:t>
      </w:r>
      <w:r w:rsidRPr="005E0CEC">
        <w:rPr>
          <w:spacing w:val="-3"/>
        </w:rPr>
        <w:t xml:space="preserve"> </w:t>
      </w:r>
      <w:r w:rsidRPr="005E0CEC">
        <w:t>di</w:t>
      </w:r>
      <w:r w:rsidRPr="005E0CEC">
        <w:rPr>
          <w:spacing w:val="-2"/>
        </w:rPr>
        <w:t xml:space="preserve"> </w:t>
      </w:r>
      <w:r w:rsidRPr="005E0CEC">
        <w:t>nome”</w:t>
      </w:r>
      <w:r w:rsidRPr="005E0CEC">
        <w:rPr>
          <w:spacing w:val="-3"/>
        </w:rPr>
        <w:t xml:space="preserve"> </w:t>
      </w:r>
      <w:r w:rsidRPr="005E0CEC">
        <w:t>costituisce</w:t>
      </w:r>
      <w:r w:rsidRPr="005E0CEC">
        <w:rPr>
          <w:spacing w:val="-3"/>
        </w:rPr>
        <w:t xml:space="preserve"> </w:t>
      </w:r>
      <w:r w:rsidRPr="005E0CEC">
        <w:t>tecnicamente</w:t>
      </w:r>
      <w:r w:rsidRPr="005E0CEC">
        <w:rPr>
          <w:spacing w:val="-3"/>
        </w:rPr>
        <w:t xml:space="preserve"> </w:t>
      </w:r>
      <w:r w:rsidRPr="005E0CEC">
        <w:t>una</w:t>
      </w:r>
      <w:r w:rsidRPr="005E0CEC">
        <w:rPr>
          <w:spacing w:val="-3"/>
        </w:rPr>
        <w:t xml:space="preserve"> </w:t>
      </w:r>
      <w:r w:rsidRPr="005E0CEC">
        <w:t>“anticipazione”</w:t>
      </w:r>
      <w:r w:rsidRPr="005E0CEC">
        <w:rPr>
          <w:spacing w:val="-3"/>
        </w:rPr>
        <w:t xml:space="preserve"> </w:t>
      </w:r>
      <w:r w:rsidRPr="005E0CEC">
        <w:t>volta</w:t>
      </w:r>
      <w:r w:rsidRPr="005E0CEC">
        <w:rPr>
          <w:spacing w:val="-3"/>
        </w:rPr>
        <w:t xml:space="preserve"> </w:t>
      </w:r>
      <w:r w:rsidRPr="005E0CEC">
        <w:t>a favorire la cosiddetta transizione sociale.</w:t>
      </w:r>
    </w:p>
    <w:p w14:paraId="003F3B5C" w14:textId="77777777" w:rsidR="00471CCA" w:rsidRPr="005E0CEC" w:rsidRDefault="007054BA" w:rsidP="005E0CEC">
      <w:pPr>
        <w:pStyle w:val="Corpotesto"/>
        <w:spacing w:line="360" w:lineRule="auto"/>
        <w:ind w:left="777" w:right="56"/>
        <w:jc w:val="both"/>
        <w:rPr>
          <w:sz w:val="22"/>
          <w:szCs w:val="22"/>
        </w:rPr>
      </w:pPr>
      <w:r w:rsidRPr="005E0CEC">
        <w:rPr>
          <w:sz w:val="22"/>
          <w:szCs w:val="22"/>
        </w:rPr>
        <w:t>Ciò significa che la scuola, compiacendo il desiderio di un soggetto che si dichiara in crisi di identità prima ancora di aver completato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la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fase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dello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sviluppo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–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quando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cioè,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di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fatto,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non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ha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ancora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vissuto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nel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corpo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che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si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appresta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a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rifiutare</w:t>
      </w:r>
      <w:r w:rsidRPr="005E0CEC">
        <w:rPr>
          <w:spacing w:val="-3"/>
          <w:sz w:val="22"/>
          <w:szCs w:val="22"/>
        </w:rPr>
        <w:t xml:space="preserve"> </w:t>
      </w:r>
      <w:r w:rsidRPr="005E0CEC">
        <w:rPr>
          <w:sz w:val="22"/>
          <w:szCs w:val="22"/>
        </w:rPr>
        <w:t>–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concorre</w:t>
      </w:r>
      <w:r w:rsidRPr="005E0CEC">
        <w:rPr>
          <w:spacing w:val="-1"/>
          <w:sz w:val="22"/>
          <w:szCs w:val="22"/>
        </w:rPr>
        <w:t xml:space="preserve"> </w:t>
      </w:r>
      <w:r w:rsidRPr="005E0CEC">
        <w:rPr>
          <w:sz w:val="22"/>
          <w:szCs w:val="22"/>
        </w:rPr>
        <w:t>a fondare le premesse di un suo radicamento identitario non armonizzato al sesso di appartenenza. In tal modo si presta a incoraggiare giovani fisicamente sani a intraprendere un iter di medicalizzazione perenne.</w:t>
      </w:r>
    </w:p>
    <w:p w14:paraId="14D4F198" w14:textId="77777777" w:rsidR="00471CCA" w:rsidRPr="005E0CEC" w:rsidRDefault="007054BA" w:rsidP="005E0CEC">
      <w:pPr>
        <w:pStyle w:val="Corpotesto"/>
        <w:spacing w:line="360" w:lineRule="auto"/>
        <w:ind w:left="777" w:right="97"/>
        <w:jc w:val="both"/>
        <w:rPr>
          <w:sz w:val="22"/>
          <w:szCs w:val="22"/>
        </w:rPr>
      </w:pPr>
      <w:r w:rsidRPr="005E0CEC">
        <w:rPr>
          <w:sz w:val="22"/>
          <w:szCs w:val="22"/>
        </w:rPr>
        <w:t>La</w:t>
      </w:r>
      <w:r w:rsidRPr="005E0CEC">
        <w:rPr>
          <w:spacing w:val="-3"/>
          <w:sz w:val="22"/>
          <w:szCs w:val="22"/>
        </w:rPr>
        <w:t xml:space="preserve"> </w:t>
      </w:r>
      <w:r w:rsidRPr="005E0CEC">
        <w:rPr>
          <w:sz w:val="22"/>
          <w:szCs w:val="22"/>
        </w:rPr>
        <w:t>gravità</w:t>
      </w:r>
      <w:r w:rsidRPr="005E0CEC">
        <w:rPr>
          <w:spacing w:val="-3"/>
          <w:sz w:val="22"/>
          <w:szCs w:val="22"/>
        </w:rPr>
        <w:t xml:space="preserve"> </w:t>
      </w:r>
      <w:r w:rsidRPr="005E0CEC">
        <w:rPr>
          <w:sz w:val="22"/>
          <w:szCs w:val="22"/>
        </w:rPr>
        <w:t>di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questi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ultimi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rilievi,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al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là</w:t>
      </w:r>
      <w:r w:rsidRPr="005E0CEC">
        <w:rPr>
          <w:spacing w:val="-3"/>
          <w:sz w:val="22"/>
          <w:szCs w:val="22"/>
        </w:rPr>
        <w:t xml:space="preserve"> </w:t>
      </w:r>
      <w:r w:rsidRPr="005E0CEC">
        <w:rPr>
          <w:sz w:val="22"/>
          <w:szCs w:val="22"/>
        </w:rPr>
        <w:t>dei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profili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invalidità</w:t>
      </w:r>
      <w:r w:rsidRPr="005E0CEC">
        <w:rPr>
          <w:spacing w:val="-3"/>
          <w:sz w:val="22"/>
          <w:szCs w:val="22"/>
        </w:rPr>
        <w:t xml:space="preserve"> </w:t>
      </w:r>
      <w:r w:rsidRPr="005E0CEC">
        <w:rPr>
          <w:sz w:val="22"/>
          <w:szCs w:val="22"/>
        </w:rPr>
        <w:t>(</w:t>
      </w:r>
      <w:r w:rsidRPr="005E0CEC">
        <w:rPr>
          <w:i/>
          <w:sz w:val="22"/>
          <w:szCs w:val="22"/>
        </w:rPr>
        <w:t>de</w:t>
      </w:r>
      <w:r w:rsidRPr="005E0CEC">
        <w:rPr>
          <w:i/>
          <w:spacing w:val="-3"/>
          <w:sz w:val="22"/>
          <w:szCs w:val="22"/>
        </w:rPr>
        <w:t xml:space="preserve"> </w:t>
      </w:r>
      <w:r w:rsidRPr="005E0CEC">
        <w:rPr>
          <w:i/>
          <w:sz w:val="22"/>
          <w:szCs w:val="22"/>
        </w:rPr>
        <w:t>iure</w:t>
      </w:r>
      <w:r w:rsidRPr="005E0CEC">
        <w:rPr>
          <w:i/>
          <w:spacing w:val="-3"/>
          <w:sz w:val="22"/>
          <w:szCs w:val="22"/>
        </w:rPr>
        <w:t xml:space="preserve"> </w:t>
      </w:r>
      <w:r w:rsidRPr="005E0CEC">
        <w:rPr>
          <w:i/>
          <w:sz w:val="22"/>
          <w:szCs w:val="22"/>
        </w:rPr>
        <w:t>condito</w:t>
      </w:r>
      <w:r w:rsidRPr="005E0CEC">
        <w:rPr>
          <w:sz w:val="22"/>
          <w:szCs w:val="22"/>
        </w:rPr>
        <w:t>)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di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cui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ai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punti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precedenti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(sub</w:t>
      </w:r>
      <w:r w:rsidRPr="005E0CEC">
        <w:rPr>
          <w:spacing w:val="-3"/>
          <w:sz w:val="22"/>
          <w:szCs w:val="22"/>
        </w:rPr>
        <w:t xml:space="preserve"> </w:t>
      </w:r>
      <w:r w:rsidRPr="005E0CEC">
        <w:rPr>
          <w:sz w:val="22"/>
          <w:szCs w:val="22"/>
        </w:rPr>
        <w:t>1,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2,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3,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4),</w:t>
      </w:r>
      <w:r w:rsidRPr="005E0CEC">
        <w:rPr>
          <w:spacing w:val="-2"/>
          <w:sz w:val="22"/>
          <w:szCs w:val="22"/>
        </w:rPr>
        <w:t xml:space="preserve"> </w:t>
      </w:r>
      <w:r w:rsidRPr="005E0CEC">
        <w:rPr>
          <w:sz w:val="22"/>
          <w:szCs w:val="22"/>
        </w:rPr>
        <w:t>è</w:t>
      </w:r>
      <w:r w:rsidRPr="005E0CEC">
        <w:rPr>
          <w:spacing w:val="-3"/>
          <w:sz w:val="22"/>
          <w:szCs w:val="22"/>
        </w:rPr>
        <w:t xml:space="preserve"> </w:t>
      </w:r>
      <w:r w:rsidRPr="005E0CEC">
        <w:rPr>
          <w:sz w:val="22"/>
          <w:szCs w:val="22"/>
        </w:rPr>
        <w:t xml:space="preserve">tale da lasciare in ogni caso impregiudicato, anche </w:t>
      </w:r>
      <w:r w:rsidRPr="005E0CEC">
        <w:rPr>
          <w:i/>
          <w:sz w:val="22"/>
          <w:szCs w:val="22"/>
        </w:rPr>
        <w:t>de iure condendo</w:t>
      </w:r>
      <w:r w:rsidRPr="005E0CEC">
        <w:rPr>
          <w:sz w:val="22"/>
          <w:szCs w:val="22"/>
        </w:rPr>
        <w:t xml:space="preserve">, </w:t>
      </w:r>
      <w:r w:rsidRPr="005E0CEC">
        <w:rPr>
          <w:b/>
          <w:sz w:val="22"/>
          <w:szCs w:val="22"/>
        </w:rPr>
        <w:t xml:space="preserve">l’esercizio della libertà di coscienza </w:t>
      </w:r>
      <w:r w:rsidRPr="005E0CEC">
        <w:rPr>
          <w:sz w:val="22"/>
          <w:szCs w:val="22"/>
        </w:rPr>
        <w:t xml:space="preserve">costituzionalmente riconosciuta e tutelata per chiunque a qualsiasi titolo professionale sia coinvolto nella applicazione della cosiddetta “carriera alias”, attesa la sua incidenza sulla personale </w:t>
      </w:r>
      <w:r w:rsidRPr="005E0CEC">
        <w:rPr>
          <w:i/>
          <w:sz w:val="22"/>
          <w:szCs w:val="22"/>
        </w:rPr>
        <w:t xml:space="preserve">Weltanschauung </w:t>
      </w:r>
      <w:r w:rsidRPr="005E0CEC">
        <w:rPr>
          <w:sz w:val="22"/>
          <w:szCs w:val="22"/>
        </w:rPr>
        <w:t xml:space="preserve">(si veda giurisprudenza costituzionale in tema di obiezione di </w:t>
      </w:r>
      <w:r w:rsidRPr="005E0CEC">
        <w:rPr>
          <w:spacing w:val="-2"/>
          <w:sz w:val="22"/>
          <w:szCs w:val="22"/>
        </w:rPr>
        <w:t>coscienza).</w:t>
      </w:r>
    </w:p>
    <w:p w14:paraId="48451E66" w14:textId="77777777" w:rsidR="00471CCA" w:rsidRPr="005E0CEC" w:rsidRDefault="007054BA" w:rsidP="005E0CEC">
      <w:pPr>
        <w:pStyle w:val="Paragrafoelenco"/>
        <w:numPr>
          <w:ilvl w:val="0"/>
          <w:numId w:val="2"/>
        </w:numPr>
        <w:tabs>
          <w:tab w:val="left" w:pos="777"/>
        </w:tabs>
        <w:spacing w:before="54" w:line="360" w:lineRule="auto"/>
        <w:ind w:right="67"/>
        <w:jc w:val="both"/>
      </w:pPr>
      <w:r w:rsidRPr="005E0CEC">
        <w:t xml:space="preserve">L’art. 1 del d.lgs. 165/1994 prevede, al comma 1, che </w:t>
      </w:r>
      <w:r w:rsidRPr="005E0CEC">
        <w:rPr>
          <w:i/>
        </w:rPr>
        <w:t>«ai docenti è garantita la libertà di insegnamento intesa come autonomia didattica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e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come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libera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espressione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culturale</w:t>
      </w:r>
      <w:r w:rsidRPr="005E0CEC">
        <w:rPr>
          <w:i/>
          <w:spacing w:val="-2"/>
        </w:rPr>
        <w:t xml:space="preserve"> </w:t>
      </w:r>
      <w:r w:rsidRPr="005E0CEC">
        <w:rPr>
          <w:i/>
        </w:rPr>
        <w:t>del</w:t>
      </w:r>
      <w:r w:rsidRPr="005E0CEC">
        <w:rPr>
          <w:i/>
          <w:spacing w:val="-1"/>
        </w:rPr>
        <w:t xml:space="preserve"> </w:t>
      </w:r>
      <w:r w:rsidRPr="005E0CEC">
        <w:rPr>
          <w:i/>
        </w:rPr>
        <w:t>docente»</w:t>
      </w:r>
      <w:r w:rsidRPr="005E0CEC">
        <w:t>;</w:t>
      </w:r>
      <w:r w:rsidRPr="005E0CEC">
        <w:rPr>
          <w:spacing w:val="-1"/>
        </w:rPr>
        <w:t xml:space="preserve"> </w:t>
      </w:r>
      <w:r w:rsidRPr="005E0CEC">
        <w:t>e</w:t>
      </w:r>
      <w:r w:rsidRPr="005E0CEC">
        <w:rPr>
          <w:spacing w:val="-1"/>
        </w:rPr>
        <w:t xml:space="preserve"> </w:t>
      </w:r>
      <w:r w:rsidRPr="005E0CEC">
        <w:t>al</w:t>
      </w:r>
      <w:r w:rsidRPr="005E0CEC">
        <w:rPr>
          <w:spacing w:val="-1"/>
        </w:rPr>
        <w:t xml:space="preserve"> </w:t>
      </w:r>
      <w:r w:rsidRPr="005E0CEC">
        <w:t>comma</w:t>
      </w:r>
      <w:r w:rsidRPr="005E0CEC">
        <w:rPr>
          <w:spacing w:val="-1"/>
        </w:rPr>
        <w:t xml:space="preserve"> </w:t>
      </w:r>
      <w:r w:rsidRPr="005E0CEC">
        <w:t>2</w:t>
      </w:r>
      <w:r w:rsidRPr="005E0CEC">
        <w:rPr>
          <w:spacing w:val="-2"/>
        </w:rPr>
        <w:t xml:space="preserve"> </w:t>
      </w:r>
      <w:r w:rsidRPr="005E0CEC">
        <w:t>che</w:t>
      </w:r>
      <w:r w:rsidRPr="005E0CEC">
        <w:rPr>
          <w:spacing w:val="-2"/>
        </w:rPr>
        <w:t xml:space="preserve"> </w:t>
      </w:r>
      <w:r w:rsidRPr="005E0CEC">
        <w:rPr>
          <w:i/>
        </w:rPr>
        <w:t>«</w:t>
      </w:r>
      <w:r w:rsidRPr="005E0CEC">
        <w:rPr>
          <w:b/>
          <w:i/>
        </w:rPr>
        <w:t>[l]'esercizio</w:t>
      </w:r>
      <w:r w:rsidRPr="005E0CEC">
        <w:rPr>
          <w:b/>
          <w:i/>
          <w:spacing w:val="-2"/>
        </w:rPr>
        <w:t xml:space="preserve"> </w:t>
      </w:r>
      <w:r w:rsidRPr="005E0CEC">
        <w:rPr>
          <w:b/>
          <w:i/>
        </w:rPr>
        <w:t>di</w:t>
      </w:r>
      <w:r w:rsidRPr="005E0CEC">
        <w:rPr>
          <w:b/>
          <w:i/>
          <w:spacing w:val="-1"/>
        </w:rPr>
        <w:t xml:space="preserve"> </w:t>
      </w:r>
      <w:r w:rsidRPr="005E0CEC">
        <w:rPr>
          <w:b/>
          <w:i/>
        </w:rPr>
        <w:t>tale</w:t>
      </w:r>
      <w:r w:rsidRPr="005E0CEC">
        <w:rPr>
          <w:b/>
          <w:i/>
          <w:spacing w:val="-2"/>
        </w:rPr>
        <w:t xml:space="preserve"> </w:t>
      </w:r>
      <w:r w:rsidRPr="005E0CEC">
        <w:rPr>
          <w:b/>
          <w:i/>
        </w:rPr>
        <w:t>libertà</w:t>
      </w:r>
      <w:r w:rsidRPr="005E0CEC">
        <w:rPr>
          <w:b/>
          <w:i/>
          <w:spacing w:val="-2"/>
        </w:rPr>
        <w:t xml:space="preserve"> </w:t>
      </w:r>
      <w:r w:rsidRPr="005E0CEC">
        <w:rPr>
          <w:b/>
          <w:i/>
        </w:rPr>
        <w:t>è</w:t>
      </w:r>
      <w:r w:rsidRPr="005E0CEC">
        <w:rPr>
          <w:b/>
          <w:i/>
          <w:spacing w:val="-2"/>
        </w:rPr>
        <w:t xml:space="preserve"> </w:t>
      </w:r>
      <w:r w:rsidRPr="005E0CEC">
        <w:rPr>
          <w:b/>
          <w:i/>
        </w:rPr>
        <w:t>diretto</w:t>
      </w:r>
      <w:r w:rsidRPr="005E0CEC">
        <w:rPr>
          <w:b/>
          <w:i/>
          <w:spacing w:val="-2"/>
        </w:rPr>
        <w:t xml:space="preserve"> </w:t>
      </w:r>
      <w:r w:rsidRPr="005E0CEC">
        <w:rPr>
          <w:b/>
          <w:i/>
        </w:rPr>
        <w:t>a</w:t>
      </w:r>
      <w:r w:rsidRPr="005E0CEC">
        <w:rPr>
          <w:b/>
          <w:i/>
          <w:spacing w:val="-2"/>
        </w:rPr>
        <w:t xml:space="preserve"> </w:t>
      </w:r>
      <w:r w:rsidRPr="005E0CEC">
        <w:rPr>
          <w:b/>
          <w:i/>
        </w:rPr>
        <w:t>promuovere, attraverso un confronto aperto di posizioni culturali, la piena formazione della personalità degli alunni</w:t>
      </w:r>
      <w:r w:rsidRPr="005E0CEC">
        <w:rPr>
          <w:i/>
        </w:rPr>
        <w:t xml:space="preserve">» </w:t>
      </w:r>
      <w:r w:rsidRPr="005E0CEC">
        <w:t xml:space="preserve">e infine che </w:t>
      </w:r>
      <w:r w:rsidRPr="005E0CEC">
        <w:rPr>
          <w:i/>
        </w:rPr>
        <w:t>«[è] garantita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l'autonomia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professionale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nello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svolgimento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dell'attività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didattica,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scientifica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e</w:t>
      </w:r>
      <w:r w:rsidRPr="005E0CEC">
        <w:rPr>
          <w:i/>
          <w:spacing w:val="-4"/>
        </w:rPr>
        <w:t xml:space="preserve"> </w:t>
      </w:r>
      <w:r w:rsidRPr="005E0CEC">
        <w:rPr>
          <w:i/>
        </w:rPr>
        <w:t>di</w:t>
      </w:r>
      <w:r w:rsidRPr="005E0CEC">
        <w:rPr>
          <w:i/>
          <w:spacing w:val="-3"/>
        </w:rPr>
        <w:t xml:space="preserve"> </w:t>
      </w:r>
      <w:r w:rsidRPr="005E0CEC">
        <w:rPr>
          <w:i/>
        </w:rPr>
        <w:t>ricerca»</w:t>
      </w:r>
      <w:r w:rsidRPr="005E0CEC">
        <w:t>.</w:t>
      </w:r>
      <w:r w:rsidRPr="005E0CEC">
        <w:rPr>
          <w:spacing w:val="-3"/>
        </w:rPr>
        <w:t xml:space="preserve"> </w:t>
      </w:r>
      <w:r w:rsidRPr="005E0CEC">
        <w:t>Inoltre,</w:t>
      </w:r>
      <w:r w:rsidRPr="005E0CEC">
        <w:rPr>
          <w:spacing w:val="-3"/>
        </w:rPr>
        <w:t xml:space="preserve"> </w:t>
      </w:r>
      <w:r w:rsidRPr="005E0CEC">
        <w:t>il</w:t>
      </w:r>
      <w:r w:rsidRPr="005E0CEC">
        <w:rPr>
          <w:spacing w:val="-3"/>
        </w:rPr>
        <w:t xml:space="preserve"> </w:t>
      </w:r>
      <w:r w:rsidRPr="005E0CEC">
        <w:t>medesimo</w:t>
      </w:r>
      <w:r w:rsidRPr="005E0CEC">
        <w:rPr>
          <w:spacing w:val="-4"/>
        </w:rPr>
        <w:t xml:space="preserve"> </w:t>
      </w:r>
      <w:r w:rsidRPr="005E0CEC">
        <w:t xml:space="preserve">decreto legislativo al comma 2 dell’art. 7 ribadisce che </w:t>
      </w:r>
      <w:r w:rsidRPr="005E0CEC">
        <w:rPr>
          <w:i/>
        </w:rPr>
        <w:t xml:space="preserve">«[l]e amministrazioni pubbliche garantiscono </w:t>
      </w:r>
      <w:r w:rsidRPr="005E0CEC">
        <w:rPr>
          <w:b/>
          <w:i/>
        </w:rPr>
        <w:t>la libertà di insegnamento e l'autonomia professionale nello svolgimento dell'attività didattica</w:t>
      </w:r>
      <w:r w:rsidRPr="005E0CEC">
        <w:rPr>
          <w:i/>
        </w:rPr>
        <w:t>, scientifica e di ricerca»</w:t>
      </w:r>
      <w:r w:rsidRPr="005E0CEC">
        <w:t>.</w:t>
      </w:r>
    </w:p>
    <w:p w14:paraId="1EAC1085" w14:textId="77777777" w:rsidR="00471CCA" w:rsidRPr="005E0CEC" w:rsidRDefault="007054BA" w:rsidP="005E0CEC">
      <w:pPr>
        <w:pStyle w:val="Paragrafoelenco"/>
        <w:numPr>
          <w:ilvl w:val="0"/>
          <w:numId w:val="2"/>
        </w:numPr>
        <w:tabs>
          <w:tab w:val="left" w:pos="777"/>
        </w:tabs>
        <w:spacing w:before="59" w:line="360" w:lineRule="auto"/>
        <w:ind w:right="117"/>
        <w:jc w:val="both"/>
        <w:rPr>
          <w:i/>
        </w:rPr>
      </w:pPr>
      <w:r w:rsidRPr="005E0CEC">
        <w:t>L’art. 32 CCNL</w:t>
      </w:r>
      <w:r w:rsidRPr="005E0CEC">
        <w:rPr>
          <w:spacing w:val="-4"/>
        </w:rPr>
        <w:t xml:space="preserve"> </w:t>
      </w:r>
      <w:r w:rsidRPr="005E0CEC">
        <w:t xml:space="preserve">2019/21 “Comunità educante e democratica” prevede che </w:t>
      </w:r>
      <w:r w:rsidRPr="005E0CEC">
        <w:rPr>
          <w:i/>
        </w:rPr>
        <w:t>«[l]a progettazione educativa e didattica, che è al centro dell’azione della comunità educante, è definita con il piano triennale dell’offerta formativa, elaborato dal Collegio dei docenti»</w:t>
      </w:r>
      <w:r w:rsidRPr="005E0CEC">
        <w:t>.</w:t>
      </w:r>
      <w:r w:rsidRPr="005E0CEC">
        <w:rPr>
          <w:spacing w:val="-1"/>
        </w:rPr>
        <w:t xml:space="preserve"> </w:t>
      </w:r>
      <w:r w:rsidRPr="005E0CEC">
        <w:t>Il</w:t>
      </w:r>
      <w:r w:rsidRPr="005E0CEC">
        <w:rPr>
          <w:spacing w:val="-1"/>
        </w:rPr>
        <w:t xml:space="preserve"> </w:t>
      </w:r>
      <w:r w:rsidRPr="005E0CEC">
        <w:t>comma</w:t>
      </w:r>
      <w:r w:rsidRPr="005E0CEC">
        <w:rPr>
          <w:spacing w:val="-2"/>
        </w:rPr>
        <w:t xml:space="preserve"> </w:t>
      </w:r>
      <w:r w:rsidRPr="005E0CEC">
        <w:t>2</w:t>
      </w:r>
      <w:r w:rsidRPr="005E0CEC">
        <w:rPr>
          <w:spacing w:val="-2"/>
        </w:rPr>
        <w:t xml:space="preserve"> </w:t>
      </w:r>
      <w:r w:rsidRPr="005E0CEC">
        <w:t>dell’art.</w:t>
      </w:r>
      <w:r w:rsidRPr="005E0CEC">
        <w:rPr>
          <w:spacing w:val="-1"/>
        </w:rPr>
        <w:t xml:space="preserve"> </w:t>
      </w:r>
      <w:r w:rsidRPr="005E0CEC">
        <w:t>3</w:t>
      </w:r>
      <w:r w:rsidRPr="005E0CEC">
        <w:rPr>
          <w:spacing w:val="-2"/>
        </w:rPr>
        <w:t xml:space="preserve"> </w:t>
      </w:r>
      <w:r w:rsidRPr="005E0CEC">
        <w:t>del</w:t>
      </w:r>
      <w:r w:rsidRPr="005E0CEC">
        <w:rPr>
          <w:spacing w:val="-1"/>
        </w:rPr>
        <w:t xml:space="preserve"> </w:t>
      </w:r>
      <w:r w:rsidRPr="005E0CEC">
        <w:t>dpr</w:t>
      </w:r>
      <w:r w:rsidRPr="005E0CEC">
        <w:rPr>
          <w:spacing w:val="-1"/>
        </w:rPr>
        <w:t xml:space="preserve"> </w:t>
      </w:r>
      <w:r w:rsidRPr="005E0CEC">
        <w:t>8</w:t>
      </w:r>
      <w:r w:rsidRPr="005E0CEC">
        <w:rPr>
          <w:spacing w:val="-2"/>
        </w:rPr>
        <w:t xml:space="preserve"> </w:t>
      </w:r>
      <w:r w:rsidRPr="005E0CEC">
        <w:t>marzo</w:t>
      </w:r>
      <w:r w:rsidRPr="005E0CEC">
        <w:rPr>
          <w:spacing w:val="-2"/>
        </w:rPr>
        <w:t xml:space="preserve"> </w:t>
      </w:r>
      <w:r w:rsidRPr="005E0CEC">
        <w:t>1999,</w:t>
      </w:r>
      <w:r w:rsidRPr="005E0CEC">
        <w:rPr>
          <w:spacing w:val="-1"/>
        </w:rPr>
        <w:t xml:space="preserve"> </w:t>
      </w:r>
      <w:r w:rsidRPr="005E0CEC">
        <w:t>n.</w:t>
      </w:r>
      <w:r w:rsidRPr="005E0CEC">
        <w:rPr>
          <w:spacing w:val="-1"/>
        </w:rPr>
        <w:t xml:space="preserve"> </w:t>
      </w:r>
      <w:r w:rsidRPr="005E0CEC">
        <w:t>275</w:t>
      </w:r>
      <w:r w:rsidRPr="005E0CEC">
        <w:rPr>
          <w:spacing w:val="-2"/>
        </w:rPr>
        <w:t xml:space="preserve"> </w:t>
      </w:r>
      <w:r w:rsidRPr="005E0CEC">
        <w:t>(come</w:t>
      </w:r>
      <w:r w:rsidRPr="005E0CEC">
        <w:rPr>
          <w:spacing w:val="-2"/>
        </w:rPr>
        <w:t xml:space="preserve"> </w:t>
      </w:r>
      <w:r w:rsidRPr="005E0CEC">
        <w:t>modificato</w:t>
      </w:r>
      <w:r w:rsidRPr="005E0CEC">
        <w:rPr>
          <w:spacing w:val="-2"/>
        </w:rPr>
        <w:t xml:space="preserve"> </w:t>
      </w:r>
      <w:r w:rsidRPr="005E0CEC">
        <w:t>dalla</w:t>
      </w:r>
      <w:r w:rsidRPr="005E0CEC">
        <w:rPr>
          <w:spacing w:val="-2"/>
        </w:rPr>
        <w:t xml:space="preserve"> </w:t>
      </w:r>
      <w:r w:rsidRPr="005E0CEC">
        <w:t>legge</w:t>
      </w:r>
      <w:r w:rsidRPr="005E0CEC">
        <w:rPr>
          <w:spacing w:val="-2"/>
        </w:rPr>
        <w:t xml:space="preserve"> </w:t>
      </w:r>
      <w:r w:rsidRPr="005E0CEC">
        <w:t>107/2015,</w:t>
      </w:r>
      <w:r w:rsidRPr="005E0CEC">
        <w:rPr>
          <w:spacing w:val="-1"/>
        </w:rPr>
        <w:t xml:space="preserve"> </w:t>
      </w:r>
      <w:r w:rsidRPr="005E0CEC">
        <w:t>art.</w:t>
      </w:r>
      <w:r w:rsidRPr="005E0CEC">
        <w:rPr>
          <w:spacing w:val="-1"/>
        </w:rPr>
        <w:t xml:space="preserve"> </w:t>
      </w:r>
      <w:r w:rsidRPr="005E0CEC">
        <w:t>1</w:t>
      </w:r>
      <w:r w:rsidRPr="005E0CEC">
        <w:rPr>
          <w:spacing w:val="-2"/>
        </w:rPr>
        <w:t xml:space="preserve"> </w:t>
      </w:r>
      <w:r w:rsidRPr="005E0CEC">
        <w:t>comma</w:t>
      </w:r>
      <w:r w:rsidRPr="005E0CEC">
        <w:rPr>
          <w:spacing w:val="-2"/>
        </w:rPr>
        <w:t xml:space="preserve"> </w:t>
      </w:r>
      <w:r w:rsidRPr="005E0CEC">
        <w:t>14)</w:t>
      </w:r>
      <w:r w:rsidRPr="005E0CEC">
        <w:rPr>
          <w:spacing w:val="-1"/>
        </w:rPr>
        <w:t xml:space="preserve"> </w:t>
      </w:r>
      <w:r w:rsidRPr="005E0CEC">
        <w:t xml:space="preserve">stabilisce che il PTOF </w:t>
      </w:r>
      <w:r w:rsidRPr="005E0CEC">
        <w:rPr>
          <w:i/>
        </w:rPr>
        <w:t>«comprende e riconosce le diverse opzioni metodologiche, anche di gruppi minoritari».</w:t>
      </w:r>
    </w:p>
    <w:p w14:paraId="4A0285B9" w14:textId="77777777" w:rsidR="00471CCA" w:rsidRPr="005E0CEC" w:rsidRDefault="00471CCA" w:rsidP="005E0CEC">
      <w:pPr>
        <w:pStyle w:val="Corpotesto"/>
        <w:spacing w:before="112" w:line="360" w:lineRule="auto"/>
        <w:jc w:val="both"/>
        <w:rPr>
          <w:i/>
          <w:sz w:val="22"/>
          <w:szCs w:val="22"/>
        </w:rPr>
      </w:pPr>
    </w:p>
    <w:p w14:paraId="28986DDF" w14:textId="061EAB71" w:rsidR="005E0CEC" w:rsidRDefault="007054BA" w:rsidP="005E0CEC">
      <w:pPr>
        <w:pStyle w:val="Titolo2"/>
        <w:spacing w:before="68" w:line="360" w:lineRule="auto"/>
        <w:ind w:left="284" w:right="1551"/>
        <w:jc w:val="both"/>
        <w:rPr>
          <w:b w:val="0"/>
          <w:bCs w:val="0"/>
          <w:sz w:val="22"/>
          <w:szCs w:val="22"/>
        </w:rPr>
      </w:pPr>
      <w:r w:rsidRPr="005E0CEC">
        <w:rPr>
          <w:b w:val="0"/>
          <w:bCs w:val="0"/>
          <w:sz w:val="22"/>
          <w:szCs w:val="22"/>
        </w:rPr>
        <w:t>Per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tutti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i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motivi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suesposti,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in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alternativa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ad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ogni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deliberazione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del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Collegio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Docenti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e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del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Consiglio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di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Istituto,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con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la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presente</w:t>
      </w:r>
      <w:r w:rsidRPr="005E0CEC">
        <w:rPr>
          <w:b w:val="0"/>
          <w:bCs w:val="0"/>
          <w:spacing w:val="-3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i</w:t>
      </w:r>
      <w:r w:rsidRPr="005E0CEC">
        <w:rPr>
          <w:b w:val="0"/>
          <w:bCs w:val="0"/>
          <w:spacing w:val="-2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 xml:space="preserve">docenti sottoscrittori, avvalendosi dell’opzione </w:t>
      </w:r>
      <w:r w:rsidRPr="005E0CEC">
        <w:rPr>
          <w:b w:val="0"/>
          <w:bCs w:val="0"/>
          <w:sz w:val="22"/>
          <w:szCs w:val="22"/>
        </w:rPr>
        <w:lastRenderedPageBreak/>
        <w:t>metodologica di gruppo minoritario ai sensi della legge n. 107/2015 comma 14 (che modifica l’art.</w:t>
      </w:r>
      <w:r w:rsidRPr="005E0CEC">
        <w:rPr>
          <w:b w:val="0"/>
          <w:bCs w:val="0"/>
          <w:spacing w:val="40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3 del dpr 275/99), esercitando la libera espressione culturale del docente (art.1 comma 1 del d.lgs. 165/1994) e allo scopo della piena formazione della personalità degli alunni (art.1 comma 2 del d.lgs. 165/1994), tenuto conto non solo dell’antigiuridicità, ma soprattutto</w:t>
      </w:r>
      <w:r w:rsidRPr="005E0CEC">
        <w:rPr>
          <w:b w:val="0"/>
          <w:bCs w:val="0"/>
          <w:spacing w:val="40"/>
          <w:sz w:val="22"/>
          <w:szCs w:val="22"/>
        </w:rPr>
        <w:t xml:space="preserve"> </w:t>
      </w:r>
      <w:r w:rsidRPr="005E0CEC">
        <w:rPr>
          <w:b w:val="0"/>
          <w:bCs w:val="0"/>
          <w:sz w:val="22"/>
          <w:szCs w:val="22"/>
        </w:rPr>
        <w:t>della mancanza di vincolatività della delibera sulla c.d. “carriera alias</w:t>
      </w:r>
      <w:r w:rsidR="005E0CEC" w:rsidRPr="005E0CEC">
        <w:rPr>
          <w:b w:val="0"/>
          <w:bCs w:val="0"/>
          <w:sz w:val="22"/>
          <w:szCs w:val="22"/>
        </w:rPr>
        <w:t>”</w:t>
      </w:r>
    </w:p>
    <w:p w14:paraId="61A3B0AA" w14:textId="77777777" w:rsidR="005E0CEC" w:rsidRPr="005E0CEC" w:rsidRDefault="005E0CEC" w:rsidP="005E0CEC">
      <w:pPr>
        <w:pStyle w:val="Titolo2"/>
        <w:spacing w:before="68" w:line="360" w:lineRule="auto"/>
        <w:ind w:left="0" w:right="1551"/>
        <w:jc w:val="both"/>
        <w:rPr>
          <w:b w:val="0"/>
          <w:bCs w:val="0"/>
          <w:sz w:val="22"/>
          <w:szCs w:val="22"/>
        </w:rPr>
      </w:pPr>
    </w:p>
    <w:p w14:paraId="0068D109" w14:textId="001E197A" w:rsidR="005E0CEC" w:rsidRDefault="005E0CEC" w:rsidP="005E0CEC">
      <w:pPr>
        <w:pStyle w:val="Titolo2"/>
        <w:spacing w:before="68" w:line="360" w:lineRule="auto"/>
        <w:ind w:left="0" w:right="1551"/>
        <w:rPr>
          <w:spacing w:val="-5"/>
          <w:sz w:val="22"/>
          <w:szCs w:val="22"/>
        </w:rPr>
      </w:pPr>
      <w:r w:rsidRPr="005E0CEC">
        <w:rPr>
          <w:sz w:val="22"/>
          <w:szCs w:val="22"/>
        </w:rPr>
        <w:t>COMUNICANO</w:t>
      </w:r>
      <w:r w:rsidRPr="005E0CEC">
        <w:rPr>
          <w:spacing w:val="-9"/>
          <w:sz w:val="22"/>
          <w:szCs w:val="22"/>
        </w:rPr>
        <w:t xml:space="preserve"> </w:t>
      </w:r>
      <w:r w:rsidRPr="005E0CEC">
        <w:rPr>
          <w:spacing w:val="-5"/>
          <w:sz w:val="22"/>
          <w:szCs w:val="22"/>
        </w:rPr>
        <w:t>CHE</w:t>
      </w:r>
    </w:p>
    <w:p w14:paraId="1DC3FD9E" w14:textId="77777777" w:rsidR="005E0CEC" w:rsidRPr="005E0CEC" w:rsidRDefault="005E0CEC" w:rsidP="005E0CEC">
      <w:pPr>
        <w:pStyle w:val="Titolo2"/>
        <w:spacing w:before="68" w:line="360" w:lineRule="auto"/>
        <w:ind w:left="0" w:right="1551"/>
        <w:jc w:val="both"/>
        <w:rPr>
          <w:sz w:val="22"/>
          <w:szCs w:val="22"/>
        </w:rPr>
      </w:pPr>
    </w:p>
    <w:p w14:paraId="5027E49D" w14:textId="77777777" w:rsidR="005E0CEC" w:rsidRPr="005E0CEC" w:rsidRDefault="005E0CEC" w:rsidP="005E0CEC">
      <w:pPr>
        <w:pStyle w:val="Paragrafoelenco"/>
        <w:numPr>
          <w:ilvl w:val="0"/>
          <w:numId w:val="1"/>
        </w:numPr>
        <w:tabs>
          <w:tab w:val="left" w:pos="777"/>
        </w:tabs>
        <w:spacing w:before="0" w:line="360" w:lineRule="auto"/>
        <w:ind w:right="759"/>
        <w:jc w:val="both"/>
      </w:pPr>
      <w:r w:rsidRPr="005E0CEC">
        <w:t>si</w:t>
      </w:r>
      <w:r w:rsidRPr="005E0CEC">
        <w:rPr>
          <w:spacing w:val="-2"/>
        </w:rPr>
        <w:t xml:space="preserve"> </w:t>
      </w:r>
      <w:r w:rsidRPr="005E0CEC">
        <w:t>dissociano</w:t>
      </w:r>
      <w:r w:rsidRPr="005E0CEC">
        <w:rPr>
          <w:spacing w:val="-3"/>
        </w:rPr>
        <w:t xml:space="preserve"> </w:t>
      </w:r>
      <w:r w:rsidRPr="005E0CEC">
        <w:t>dalla</w:t>
      </w:r>
      <w:r w:rsidRPr="005E0CEC">
        <w:rPr>
          <w:spacing w:val="-3"/>
        </w:rPr>
        <w:t xml:space="preserve"> </w:t>
      </w:r>
      <w:r w:rsidRPr="005E0CEC">
        <w:t>delibera</w:t>
      </w:r>
      <w:r w:rsidRPr="005E0CEC">
        <w:rPr>
          <w:spacing w:val="-3"/>
        </w:rPr>
        <w:t xml:space="preserve"> </w:t>
      </w:r>
      <w:r w:rsidRPr="005E0CEC">
        <w:t>di</w:t>
      </w:r>
      <w:r w:rsidRPr="005E0CEC">
        <w:rPr>
          <w:spacing w:val="-2"/>
        </w:rPr>
        <w:t xml:space="preserve"> </w:t>
      </w:r>
      <w:r w:rsidRPr="005E0CEC">
        <w:t>approvazione</w:t>
      </w:r>
      <w:r w:rsidRPr="005E0CEC">
        <w:rPr>
          <w:spacing w:val="-3"/>
        </w:rPr>
        <w:t xml:space="preserve"> </w:t>
      </w:r>
      <w:r w:rsidRPr="005E0CEC">
        <w:t>della</w:t>
      </w:r>
      <w:r w:rsidRPr="005E0CEC">
        <w:rPr>
          <w:spacing w:val="-3"/>
        </w:rPr>
        <w:t xml:space="preserve"> </w:t>
      </w:r>
      <w:r w:rsidRPr="005E0CEC">
        <w:t>“carriera</w:t>
      </w:r>
      <w:r w:rsidRPr="005E0CEC">
        <w:rPr>
          <w:spacing w:val="-3"/>
        </w:rPr>
        <w:t xml:space="preserve"> </w:t>
      </w:r>
      <w:r w:rsidRPr="005E0CEC">
        <w:t>alias”</w:t>
      </w:r>
      <w:r w:rsidRPr="005E0CEC">
        <w:rPr>
          <w:spacing w:val="-3"/>
        </w:rPr>
        <w:t xml:space="preserve"> </w:t>
      </w:r>
      <w:r w:rsidRPr="005E0CEC">
        <w:t>e</w:t>
      </w:r>
      <w:r w:rsidRPr="005E0CEC">
        <w:rPr>
          <w:spacing w:val="-3"/>
        </w:rPr>
        <w:t xml:space="preserve"> </w:t>
      </w:r>
      <w:r w:rsidRPr="005E0CEC">
        <w:t>da</w:t>
      </w:r>
      <w:r w:rsidRPr="005E0CEC">
        <w:rPr>
          <w:spacing w:val="-3"/>
        </w:rPr>
        <w:t xml:space="preserve"> </w:t>
      </w:r>
      <w:r w:rsidRPr="005E0CEC">
        <w:t>ogni</w:t>
      </w:r>
      <w:r w:rsidRPr="005E0CEC">
        <w:rPr>
          <w:spacing w:val="-2"/>
        </w:rPr>
        <w:t xml:space="preserve"> </w:t>
      </w:r>
      <w:r w:rsidRPr="005E0CEC">
        <w:t>deliberazione</w:t>
      </w:r>
      <w:r w:rsidRPr="005E0CEC">
        <w:rPr>
          <w:spacing w:val="-3"/>
        </w:rPr>
        <w:t xml:space="preserve"> </w:t>
      </w:r>
      <w:r w:rsidRPr="005E0CEC">
        <w:t>del</w:t>
      </w:r>
      <w:r w:rsidRPr="005E0CEC">
        <w:rPr>
          <w:spacing w:val="-2"/>
        </w:rPr>
        <w:t xml:space="preserve"> </w:t>
      </w:r>
      <w:r w:rsidRPr="005E0CEC">
        <w:t>Collegio</w:t>
      </w:r>
      <w:r w:rsidRPr="005E0CEC">
        <w:rPr>
          <w:spacing w:val="-3"/>
        </w:rPr>
        <w:t xml:space="preserve"> </w:t>
      </w:r>
      <w:r w:rsidRPr="005E0CEC">
        <w:t>dei</w:t>
      </w:r>
      <w:r w:rsidRPr="005E0CEC">
        <w:rPr>
          <w:spacing w:val="-2"/>
        </w:rPr>
        <w:t xml:space="preserve"> </w:t>
      </w:r>
      <w:r w:rsidRPr="005E0CEC">
        <w:t>Docenti</w:t>
      </w:r>
      <w:r w:rsidRPr="005E0CEC">
        <w:rPr>
          <w:spacing w:val="-2"/>
        </w:rPr>
        <w:t xml:space="preserve"> </w:t>
      </w:r>
      <w:r w:rsidRPr="005E0CEC">
        <w:t>che</w:t>
      </w:r>
      <w:r w:rsidRPr="005E0CEC">
        <w:rPr>
          <w:spacing w:val="-3"/>
        </w:rPr>
        <w:t xml:space="preserve"> </w:t>
      </w:r>
      <w:r w:rsidRPr="005E0CEC">
        <w:t xml:space="preserve">la </w:t>
      </w:r>
      <w:r w:rsidRPr="005E0CEC">
        <w:rPr>
          <w:spacing w:val="-2"/>
        </w:rPr>
        <w:t>presupponga;</w:t>
      </w:r>
    </w:p>
    <w:p w14:paraId="257A4A88" w14:textId="77777777" w:rsidR="005E0CEC" w:rsidRPr="005E0CEC" w:rsidRDefault="005E0CEC" w:rsidP="005E0CEC">
      <w:pPr>
        <w:pStyle w:val="Paragrafoelenco"/>
        <w:numPr>
          <w:ilvl w:val="0"/>
          <w:numId w:val="1"/>
        </w:numPr>
        <w:tabs>
          <w:tab w:val="left" w:pos="777"/>
        </w:tabs>
        <w:spacing w:before="57" w:line="360" w:lineRule="auto"/>
        <w:ind w:right="57"/>
        <w:jc w:val="both"/>
        <w:rPr>
          <w:i/>
        </w:rPr>
      </w:pPr>
      <w:r w:rsidRPr="005E0CEC">
        <w:t>per</w:t>
      </w:r>
      <w:r w:rsidRPr="005E0CEC">
        <w:rPr>
          <w:spacing w:val="-2"/>
        </w:rPr>
        <w:t xml:space="preserve"> </w:t>
      </w:r>
      <w:r w:rsidRPr="005E0CEC">
        <w:t>quanto</w:t>
      </w:r>
      <w:r w:rsidRPr="005E0CEC">
        <w:rPr>
          <w:spacing w:val="-3"/>
        </w:rPr>
        <w:t xml:space="preserve"> </w:t>
      </w:r>
      <w:r w:rsidRPr="005E0CEC">
        <w:t>di</w:t>
      </w:r>
      <w:r w:rsidRPr="005E0CEC">
        <w:rPr>
          <w:spacing w:val="-2"/>
        </w:rPr>
        <w:t xml:space="preserve"> </w:t>
      </w:r>
      <w:r w:rsidRPr="005E0CEC">
        <w:t>propria</w:t>
      </w:r>
      <w:r w:rsidRPr="005E0CEC">
        <w:rPr>
          <w:spacing w:val="-3"/>
        </w:rPr>
        <w:t xml:space="preserve"> </w:t>
      </w:r>
      <w:r w:rsidRPr="005E0CEC">
        <w:t>specifica</w:t>
      </w:r>
      <w:r w:rsidRPr="005E0CEC">
        <w:rPr>
          <w:spacing w:val="-3"/>
        </w:rPr>
        <w:t xml:space="preserve"> </w:t>
      </w:r>
      <w:r w:rsidRPr="005E0CEC">
        <w:t>competenza,</w:t>
      </w:r>
      <w:r w:rsidRPr="005E0CEC">
        <w:rPr>
          <w:spacing w:val="-2"/>
        </w:rPr>
        <w:t xml:space="preserve"> </w:t>
      </w:r>
      <w:r w:rsidRPr="005E0CEC">
        <w:t>nell’esercizio</w:t>
      </w:r>
      <w:r w:rsidRPr="005E0CEC">
        <w:rPr>
          <w:spacing w:val="-3"/>
        </w:rPr>
        <w:t xml:space="preserve"> </w:t>
      </w:r>
      <w:r w:rsidRPr="005E0CEC">
        <w:t>dei</w:t>
      </w:r>
      <w:r w:rsidRPr="005E0CEC">
        <w:rPr>
          <w:spacing w:val="-2"/>
        </w:rPr>
        <w:t xml:space="preserve"> </w:t>
      </w:r>
      <w:r w:rsidRPr="005E0CEC">
        <w:t>diritti</w:t>
      </w:r>
      <w:r w:rsidRPr="005E0CEC">
        <w:rPr>
          <w:spacing w:val="-2"/>
        </w:rPr>
        <w:t xml:space="preserve"> </w:t>
      </w:r>
      <w:r w:rsidRPr="005E0CEC">
        <w:t>e</w:t>
      </w:r>
      <w:r w:rsidRPr="005E0CEC">
        <w:rPr>
          <w:spacing w:val="-3"/>
        </w:rPr>
        <w:t xml:space="preserve"> </w:t>
      </w:r>
      <w:r w:rsidRPr="005E0CEC">
        <w:t>dei</w:t>
      </w:r>
      <w:r w:rsidRPr="005E0CEC">
        <w:rPr>
          <w:spacing w:val="-2"/>
        </w:rPr>
        <w:t xml:space="preserve"> </w:t>
      </w:r>
      <w:r w:rsidRPr="005E0CEC">
        <w:t>doveri</w:t>
      </w:r>
      <w:r w:rsidRPr="005E0CEC">
        <w:rPr>
          <w:spacing w:val="-2"/>
        </w:rPr>
        <w:t xml:space="preserve"> </w:t>
      </w:r>
      <w:r w:rsidRPr="005E0CEC">
        <w:t>di</w:t>
      </w:r>
      <w:r w:rsidRPr="005E0CEC">
        <w:rPr>
          <w:spacing w:val="-2"/>
        </w:rPr>
        <w:t xml:space="preserve"> </w:t>
      </w:r>
      <w:r w:rsidRPr="005E0CEC">
        <w:t>cui</w:t>
      </w:r>
      <w:r w:rsidRPr="005E0CEC">
        <w:rPr>
          <w:spacing w:val="-2"/>
        </w:rPr>
        <w:t xml:space="preserve"> </w:t>
      </w:r>
      <w:r w:rsidRPr="005E0CEC">
        <w:t>sopra,</w:t>
      </w:r>
      <w:r w:rsidRPr="005E0CEC">
        <w:rPr>
          <w:spacing w:val="-2"/>
        </w:rPr>
        <w:t xml:space="preserve"> </w:t>
      </w:r>
      <w:r w:rsidRPr="005E0CEC">
        <w:t>procederanno</w:t>
      </w:r>
      <w:r w:rsidRPr="005E0CEC">
        <w:rPr>
          <w:spacing w:val="-3"/>
        </w:rPr>
        <w:t xml:space="preserve"> </w:t>
      </w:r>
      <w:r w:rsidRPr="005E0CEC">
        <w:t>allo</w:t>
      </w:r>
      <w:r w:rsidRPr="005E0CEC">
        <w:rPr>
          <w:spacing w:val="-3"/>
        </w:rPr>
        <w:t xml:space="preserve"> </w:t>
      </w:r>
      <w:r w:rsidRPr="005E0CEC">
        <w:t>svolgimento</w:t>
      </w:r>
      <w:r w:rsidRPr="005E0CEC">
        <w:rPr>
          <w:spacing w:val="-3"/>
        </w:rPr>
        <w:t xml:space="preserve"> </w:t>
      </w:r>
      <w:r w:rsidRPr="005E0CEC">
        <w:t xml:space="preserve">delle proprie funzioni considerando, in conformità all’ordinamento giuridico, tale delibera </w:t>
      </w:r>
      <w:proofErr w:type="spellStart"/>
      <w:r w:rsidRPr="005E0CEC">
        <w:rPr>
          <w:i/>
        </w:rPr>
        <w:t>tamquam</w:t>
      </w:r>
      <w:proofErr w:type="spellEnd"/>
      <w:r w:rsidRPr="005E0CEC">
        <w:rPr>
          <w:i/>
        </w:rPr>
        <w:t xml:space="preserve"> non </w:t>
      </w:r>
      <w:proofErr w:type="spellStart"/>
      <w:r w:rsidRPr="005E0CEC">
        <w:rPr>
          <w:i/>
        </w:rPr>
        <w:t>esset</w:t>
      </w:r>
      <w:proofErr w:type="spellEnd"/>
      <w:r w:rsidRPr="005E0CEC">
        <w:rPr>
          <w:i/>
        </w:rPr>
        <w:t>.</w:t>
      </w:r>
    </w:p>
    <w:p w14:paraId="5F8A100E" w14:textId="77777777" w:rsidR="005E0CEC" w:rsidRPr="005E0CEC" w:rsidRDefault="005E0CEC" w:rsidP="005E0CEC">
      <w:pPr>
        <w:pStyle w:val="Corpotesto"/>
        <w:spacing w:before="113" w:line="360" w:lineRule="auto"/>
        <w:jc w:val="both"/>
        <w:rPr>
          <w:i/>
          <w:sz w:val="22"/>
          <w:szCs w:val="22"/>
        </w:rPr>
      </w:pPr>
    </w:p>
    <w:p w14:paraId="4E96E252" w14:textId="77777777" w:rsidR="005E0CEC" w:rsidRPr="005E0CEC" w:rsidRDefault="005E0CEC" w:rsidP="005E0CEC">
      <w:pPr>
        <w:pStyle w:val="Titolo2"/>
        <w:spacing w:line="360" w:lineRule="auto"/>
        <w:ind w:left="289"/>
        <w:jc w:val="both"/>
        <w:rPr>
          <w:sz w:val="22"/>
          <w:szCs w:val="22"/>
        </w:rPr>
      </w:pPr>
      <w:r w:rsidRPr="005E0CEC">
        <w:rPr>
          <w:sz w:val="22"/>
          <w:szCs w:val="22"/>
        </w:rPr>
        <w:t xml:space="preserve">Gli scriventi chiedono inoltre che, ai sensi della normativa sopra </w:t>
      </w:r>
      <w:proofErr w:type="gramStart"/>
      <w:r w:rsidRPr="005E0CEC">
        <w:rPr>
          <w:sz w:val="22"/>
          <w:szCs w:val="22"/>
        </w:rPr>
        <w:t>citata ,</w:t>
      </w:r>
      <w:proofErr w:type="gramEnd"/>
      <w:r w:rsidRPr="005E0CEC">
        <w:rPr>
          <w:sz w:val="22"/>
          <w:szCs w:val="22"/>
        </w:rPr>
        <w:t xml:space="preserve"> il presente documento sia protocollato, inserito nel verbale della presente riunione e reso parte integrante del POF e del PTOF correnti.</w:t>
      </w:r>
    </w:p>
    <w:p w14:paraId="0D753996" w14:textId="77777777" w:rsidR="005E0CEC" w:rsidRPr="005E0CEC" w:rsidRDefault="005E0CEC" w:rsidP="005E0CEC">
      <w:pPr>
        <w:pStyle w:val="Corpotesto"/>
        <w:spacing w:before="91" w:line="360" w:lineRule="auto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5E0CEC" w:rsidRPr="005E0CEC" w14:paraId="7F89F836" w14:textId="77777777" w:rsidTr="00E82A62">
        <w:trPr>
          <w:trHeight w:val="398"/>
        </w:trPr>
        <w:tc>
          <w:tcPr>
            <w:tcW w:w="3259" w:type="dxa"/>
          </w:tcPr>
          <w:p w14:paraId="652EE224" w14:textId="77777777" w:rsidR="005E0CEC" w:rsidRPr="005E0CEC" w:rsidRDefault="005E0CEC" w:rsidP="005E0CEC">
            <w:pPr>
              <w:pStyle w:val="TableParagraph"/>
              <w:spacing w:before="59" w:line="360" w:lineRule="auto"/>
              <w:ind w:left="118" w:right="2"/>
              <w:jc w:val="both"/>
              <w:rPr>
                <w:b/>
              </w:rPr>
            </w:pPr>
            <w:r w:rsidRPr="005E0CEC">
              <w:rPr>
                <w:b/>
                <w:spacing w:val="-4"/>
              </w:rPr>
              <w:t>Nome</w:t>
            </w:r>
          </w:p>
        </w:tc>
        <w:tc>
          <w:tcPr>
            <w:tcW w:w="3259" w:type="dxa"/>
          </w:tcPr>
          <w:p w14:paraId="52A67730" w14:textId="77777777" w:rsidR="005E0CEC" w:rsidRPr="005E0CEC" w:rsidRDefault="005E0CEC" w:rsidP="005E0CEC">
            <w:pPr>
              <w:pStyle w:val="TableParagraph"/>
              <w:spacing w:before="59" w:line="360" w:lineRule="auto"/>
              <w:ind w:left="1196"/>
              <w:jc w:val="both"/>
              <w:rPr>
                <w:b/>
              </w:rPr>
            </w:pPr>
            <w:r w:rsidRPr="005E0CEC">
              <w:rPr>
                <w:b/>
                <w:spacing w:val="-2"/>
              </w:rPr>
              <w:t>Cognome</w:t>
            </w:r>
          </w:p>
        </w:tc>
        <w:tc>
          <w:tcPr>
            <w:tcW w:w="3259" w:type="dxa"/>
          </w:tcPr>
          <w:p w14:paraId="57374CCB" w14:textId="77777777" w:rsidR="005E0CEC" w:rsidRPr="005E0CEC" w:rsidRDefault="005E0CEC" w:rsidP="005E0CEC">
            <w:pPr>
              <w:pStyle w:val="TableParagraph"/>
              <w:spacing w:before="59" w:line="360" w:lineRule="auto"/>
              <w:ind w:left="118"/>
              <w:jc w:val="both"/>
              <w:rPr>
                <w:b/>
              </w:rPr>
            </w:pPr>
            <w:r w:rsidRPr="005E0CEC">
              <w:rPr>
                <w:b/>
                <w:spacing w:val="-2"/>
              </w:rPr>
              <w:t>Firma</w:t>
            </w:r>
          </w:p>
        </w:tc>
      </w:tr>
      <w:tr w:rsidR="005E0CEC" w:rsidRPr="005E0CEC" w14:paraId="1929C578" w14:textId="77777777" w:rsidTr="00E82A62">
        <w:trPr>
          <w:trHeight w:val="551"/>
        </w:trPr>
        <w:tc>
          <w:tcPr>
            <w:tcW w:w="3259" w:type="dxa"/>
          </w:tcPr>
          <w:p w14:paraId="6B04221B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189D54A1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66C470D7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173B8D9D" w14:textId="77777777" w:rsidTr="00E82A62">
        <w:trPr>
          <w:trHeight w:val="551"/>
        </w:trPr>
        <w:tc>
          <w:tcPr>
            <w:tcW w:w="3259" w:type="dxa"/>
          </w:tcPr>
          <w:p w14:paraId="72894C81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1848EEBF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40FBCEDB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31221E1E" w14:textId="77777777" w:rsidTr="00E82A62">
        <w:trPr>
          <w:trHeight w:val="551"/>
        </w:trPr>
        <w:tc>
          <w:tcPr>
            <w:tcW w:w="3259" w:type="dxa"/>
          </w:tcPr>
          <w:p w14:paraId="62B482A5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4204E023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501783A5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1941869F" w14:textId="77777777" w:rsidTr="00E82A62">
        <w:trPr>
          <w:trHeight w:val="551"/>
        </w:trPr>
        <w:tc>
          <w:tcPr>
            <w:tcW w:w="3259" w:type="dxa"/>
          </w:tcPr>
          <w:p w14:paraId="04EA4230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9F9E462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72BB5F3C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316D6FC8" w14:textId="77777777" w:rsidTr="00E82A62">
        <w:trPr>
          <w:trHeight w:val="551"/>
        </w:trPr>
        <w:tc>
          <w:tcPr>
            <w:tcW w:w="3259" w:type="dxa"/>
          </w:tcPr>
          <w:p w14:paraId="01D64520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14269B6B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8251398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1A4DD864" w14:textId="77777777" w:rsidTr="00E82A62">
        <w:trPr>
          <w:trHeight w:val="551"/>
        </w:trPr>
        <w:tc>
          <w:tcPr>
            <w:tcW w:w="3259" w:type="dxa"/>
          </w:tcPr>
          <w:p w14:paraId="4E662306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3F5A6F14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0B641A33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375E275D" w14:textId="77777777" w:rsidTr="00E82A62">
        <w:trPr>
          <w:trHeight w:val="546"/>
        </w:trPr>
        <w:tc>
          <w:tcPr>
            <w:tcW w:w="3259" w:type="dxa"/>
          </w:tcPr>
          <w:p w14:paraId="37734135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5B994FAA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3921C8E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3A6D003D" w14:textId="77777777" w:rsidTr="00E82A62">
        <w:trPr>
          <w:trHeight w:val="551"/>
        </w:trPr>
        <w:tc>
          <w:tcPr>
            <w:tcW w:w="3259" w:type="dxa"/>
          </w:tcPr>
          <w:p w14:paraId="3218E1F8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7FA1AFFF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78E9BFB8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1A86D3E1" w14:textId="77777777" w:rsidTr="00E82A62">
        <w:trPr>
          <w:trHeight w:val="551"/>
        </w:trPr>
        <w:tc>
          <w:tcPr>
            <w:tcW w:w="3259" w:type="dxa"/>
          </w:tcPr>
          <w:p w14:paraId="02AEEA86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0B67B94D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53C6F4E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3937A8DA" w14:textId="77777777" w:rsidTr="00E82A62">
        <w:trPr>
          <w:trHeight w:val="551"/>
        </w:trPr>
        <w:tc>
          <w:tcPr>
            <w:tcW w:w="3259" w:type="dxa"/>
          </w:tcPr>
          <w:p w14:paraId="417B0D15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8B1B283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441A1F82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2442BE3C" w14:textId="77777777" w:rsidTr="00E82A62">
        <w:trPr>
          <w:trHeight w:val="551"/>
        </w:trPr>
        <w:tc>
          <w:tcPr>
            <w:tcW w:w="3259" w:type="dxa"/>
          </w:tcPr>
          <w:p w14:paraId="275578E1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150B26BC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67D9A95A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1081D1D5" w14:textId="77777777" w:rsidTr="00E82A62">
        <w:trPr>
          <w:trHeight w:val="551"/>
        </w:trPr>
        <w:tc>
          <w:tcPr>
            <w:tcW w:w="3259" w:type="dxa"/>
          </w:tcPr>
          <w:p w14:paraId="2F88C3C9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CCBD481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2A43494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40EF9E4E" w14:textId="77777777" w:rsidTr="00E82A62">
        <w:trPr>
          <w:trHeight w:val="551"/>
        </w:trPr>
        <w:tc>
          <w:tcPr>
            <w:tcW w:w="3259" w:type="dxa"/>
          </w:tcPr>
          <w:p w14:paraId="5F5B9778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57CEAE2F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2EFD27E1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5F98EE73" w14:textId="77777777" w:rsidTr="00E82A62">
        <w:trPr>
          <w:trHeight w:val="551"/>
        </w:trPr>
        <w:tc>
          <w:tcPr>
            <w:tcW w:w="3259" w:type="dxa"/>
          </w:tcPr>
          <w:p w14:paraId="4398FFAF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5F95C53F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0FBCF894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14C6972F" w14:textId="77777777" w:rsidTr="00E82A62">
        <w:trPr>
          <w:trHeight w:val="551"/>
        </w:trPr>
        <w:tc>
          <w:tcPr>
            <w:tcW w:w="3259" w:type="dxa"/>
          </w:tcPr>
          <w:p w14:paraId="0900A3D2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7899744B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320F6C9D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13D89188" w14:textId="77777777" w:rsidTr="00E82A62">
        <w:trPr>
          <w:trHeight w:val="551"/>
        </w:trPr>
        <w:tc>
          <w:tcPr>
            <w:tcW w:w="3259" w:type="dxa"/>
          </w:tcPr>
          <w:p w14:paraId="21A298E1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75CFA90E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3A957C91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  <w:tr w:rsidR="005E0CEC" w:rsidRPr="005E0CEC" w14:paraId="019F148A" w14:textId="77777777" w:rsidTr="00E82A62">
        <w:trPr>
          <w:trHeight w:val="551"/>
        </w:trPr>
        <w:tc>
          <w:tcPr>
            <w:tcW w:w="3259" w:type="dxa"/>
          </w:tcPr>
          <w:p w14:paraId="7653D37D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08E54E63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  <w:tc>
          <w:tcPr>
            <w:tcW w:w="3259" w:type="dxa"/>
          </w:tcPr>
          <w:p w14:paraId="5FFCD5B3" w14:textId="77777777" w:rsidR="005E0CEC" w:rsidRPr="005E0CEC" w:rsidRDefault="005E0CEC" w:rsidP="005E0CEC">
            <w:pPr>
              <w:pStyle w:val="TableParagraph"/>
              <w:spacing w:line="360" w:lineRule="auto"/>
              <w:jc w:val="both"/>
            </w:pPr>
          </w:p>
        </w:tc>
      </w:tr>
    </w:tbl>
    <w:p w14:paraId="3261CB2E" w14:textId="4EE3A3CF" w:rsidR="00471CCA" w:rsidRPr="005E0CEC" w:rsidRDefault="00471CCA" w:rsidP="005E0CEC">
      <w:pPr>
        <w:pStyle w:val="Corpotesto"/>
        <w:spacing w:line="360" w:lineRule="auto"/>
        <w:ind w:left="57" w:right="75"/>
        <w:jc w:val="both"/>
        <w:rPr>
          <w:sz w:val="22"/>
          <w:szCs w:val="22"/>
        </w:rPr>
        <w:sectPr w:rsidR="00471CCA" w:rsidRPr="005E0CEC">
          <w:type w:val="continuous"/>
          <w:pgSz w:w="11910" w:h="16840"/>
          <w:pgMar w:top="820" w:right="850" w:bottom="280" w:left="850" w:header="720" w:footer="720" w:gutter="0"/>
          <w:cols w:space="720"/>
        </w:sectPr>
      </w:pPr>
    </w:p>
    <w:p w14:paraId="1AC9AA0D" w14:textId="3CAF14C2" w:rsidR="00471CCA" w:rsidRPr="005E0CEC" w:rsidRDefault="00471CCA" w:rsidP="005E0CEC">
      <w:pPr>
        <w:pStyle w:val="Corpotesto"/>
        <w:spacing w:before="154" w:line="360" w:lineRule="auto"/>
        <w:jc w:val="both"/>
        <w:rPr>
          <w:b/>
          <w:sz w:val="22"/>
          <w:szCs w:val="22"/>
        </w:rPr>
      </w:pPr>
    </w:p>
    <w:sectPr w:rsidR="00471CCA" w:rsidRPr="005E0CEC">
      <w:pgSz w:w="11910" w:h="16840"/>
      <w:pgMar w:top="8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5A0"/>
    <w:multiLevelType w:val="hybridMultilevel"/>
    <w:tmpl w:val="ADE83B16"/>
    <w:lvl w:ilvl="0" w:tplc="2CA8AE9C">
      <w:start w:val="1"/>
      <w:numFmt w:val="upperLetter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1" w:tplc="467EBB86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7EBEB0B4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78A01832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B3DC9BC2">
      <w:numFmt w:val="bullet"/>
      <w:lvlText w:val="•"/>
      <w:lvlJc w:val="left"/>
      <w:pPr>
        <w:ind w:left="4549" w:hanging="360"/>
      </w:pPr>
      <w:rPr>
        <w:rFonts w:hint="default"/>
        <w:lang w:val="it-IT" w:eastAsia="en-US" w:bidi="ar-SA"/>
      </w:rPr>
    </w:lvl>
    <w:lvl w:ilvl="5" w:tplc="E6A4C0D6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8850E426">
      <w:numFmt w:val="bullet"/>
      <w:lvlText w:val="•"/>
      <w:lvlJc w:val="left"/>
      <w:pPr>
        <w:ind w:left="6434" w:hanging="360"/>
      </w:pPr>
      <w:rPr>
        <w:rFonts w:hint="default"/>
        <w:lang w:val="it-IT" w:eastAsia="en-US" w:bidi="ar-SA"/>
      </w:rPr>
    </w:lvl>
    <w:lvl w:ilvl="7" w:tplc="3EA006B4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6CC42134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A317D5"/>
    <w:multiLevelType w:val="hybridMultilevel"/>
    <w:tmpl w:val="F738B3FC"/>
    <w:lvl w:ilvl="0" w:tplc="4CA25CCE">
      <w:start w:val="1"/>
      <w:numFmt w:val="decimal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1" w:tplc="BEC40128">
      <w:start w:val="1"/>
      <w:numFmt w:val="lowerLetter"/>
      <w:lvlText w:val="%2."/>
      <w:lvlJc w:val="left"/>
      <w:pPr>
        <w:ind w:left="1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2" w:tplc="A83CA97A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374CD4CC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53429FD6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 w:tplc="81D67860">
      <w:numFmt w:val="bullet"/>
      <w:lvlText w:val="•"/>
      <w:lvlJc w:val="left"/>
      <w:pPr>
        <w:ind w:left="5368" w:hanging="360"/>
      </w:pPr>
      <w:rPr>
        <w:rFonts w:hint="default"/>
        <w:lang w:val="it-IT" w:eastAsia="en-US" w:bidi="ar-SA"/>
      </w:rPr>
    </w:lvl>
    <w:lvl w:ilvl="6" w:tplc="5558902A">
      <w:numFmt w:val="bullet"/>
      <w:lvlText w:val="•"/>
      <w:lvlJc w:val="left"/>
      <w:pPr>
        <w:ind w:left="6335" w:hanging="360"/>
      </w:pPr>
      <w:rPr>
        <w:rFonts w:hint="default"/>
        <w:lang w:val="it-IT" w:eastAsia="en-US" w:bidi="ar-SA"/>
      </w:rPr>
    </w:lvl>
    <w:lvl w:ilvl="7" w:tplc="FE42CE96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0988001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num w:numId="1" w16cid:durableId="1539850353">
    <w:abstractNumId w:val="0"/>
  </w:num>
  <w:num w:numId="2" w16cid:durableId="1713770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CCA"/>
    <w:rsid w:val="00471CCA"/>
    <w:rsid w:val="005E0CEC"/>
    <w:rsid w:val="007054BA"/>
    <w:rsid w:val="00E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D1CF"/>
  <w15:docId w15:val="{C3303DB0-87F0-405C-B9E0-EEF258E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7"/>
      <w:ind w:left="1555" w:right="15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555" w:right="56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60"/>
      <w:ind w:left="777" w:right="5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5E0CEC"/>
    <w:rPr>
      <w:rFonts w:ascii="Times New Roman" w:eastAsia="Times New Roman" w:hAnsi="Times New Roman" w:cs="Times New Roman"/>
      <w:b/>
      <w:bCs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0CEC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</cp:lastModifiedBy>
  <cp:revision>4</cp:revision>
  <dcterms:created xsi:type="dcterms:W3CDTF">2026-01-02T22:08:00Z</dcterms:created>
  <dcterms:modified xsi:type="dcterms:W3CDTF">2026-01-25T17:48:00Z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LastSaved">
    <vt:filetime>2026-01-02T00:00:00Z</vt:filetime>
  </property>
  <property fmtid="{D5CDD505-2E9C-101B-9397-08002B2CF9AE}" pid="4" name="Producer">
    <vt:lpwstr>macOS Versione 13.0 (Build 22A380) Quartz PDFContext</vt:lpwstr>
  </property>
</Properties>
</file>